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12600">
      <w:pPr>
        <w:keepNext w:val="0"/>
        <w:keepLines w:val="0"/>
        <w:pageBreakBefore w:val="0"/>
        <w:widowControl w:val="0"/>
        <w:kinsoku/>
        <w:overflowPunct/>
        <w:topLinePunct w:val="0"/>
        <w:autoSpaceDE/>
        <w:autoSpaceDN/>
        <w:bidi w:val="0"/>
        <w:adjustRightInd/>
        <w:snapToGrid/>
        <w:jc w:val="center"/>
        <w:rPr>
          <w:rFonts w:hint="eastAsia" w:asciiTheme="minorEastAsia" w:hAnsiTheme="minorEastAsia" w:eastAsiaTheme="minorEastAsia" w:cstheme="minorEastAsia"/>
          <w:sz w:val="44"/>
          <w:szCs w:val="44"/>
          <w:lang w:val="en-US" w:eastAsia="zh-CN"/>
        </w:rPr>
      </w:pPr>
      <w:bookmarkStart w:id="0" w:name="_GoBack"/>
      <w:bookmarkEnd w:id="0"/>
      <w:r>
        <w:rPr>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14467A5B">
                            <w:pPr>
                              <w:jc w:val="center"/>
                              <w:rPr>
                                <w:rFonts w:hint="eastAsia" w:ascii="方正小标宋简体" w:hAnsi="方正小标宋简体" w:eastAsia="方正小标宋简体" w:cs="方正小标宋简体"/>
                                <w:b w:val="0"/>
                                <w:bCs w:val="0"/>
                                <w:color w:val="000000" w:themeColor="text1"/>
                                <w:sz w:val="28"/>
                                <w:szCs w:val="28"/>
                                <w:lang w:val="en-US" w:eastAsia="zh-CN"/>
                                <w14:textOutline w14:w="0" w14:cmpd="dbl">
                                  <w14:solidFill>
                                    <w14:schemeClr w14:val="tx1"/>
                                  </w14:solidFill>
                                  <w14:round/>
                                </w14:textOutline>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28"/>
                                <w:szCs w:val="28"/>
                                <w:lang w:val="en-US" w:eastAsia="zh-CN"/>
                                <w14:textOutline w14:w="0" w14:cmpd="dbl">
                                  <w14:solidFill>
                                    <w14:schemeClr w14:val="tx1"/>
                                  </w14:solidFill>
                                  <w14:round/>
                                </w14:textOutline>
                                <w14:textFill>
                                  <w14:solidFill>
                                    <w14:schemeClr w14:val="tx1"/>
                                  </w14:solidFill>
                                </w14:textFill>
                              </w:rPr>
                              <w:t>下载版式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5pt;margin-top:-89.75pt;height:38.85pt;width:91.45pt;z-index:251659264;mso-width-relative:page;mso-height-relative:page;" fillcolor="#FFFFFF [3201]" filled="t" stroked="f" coordsize="21600,21600" o:gfxdata="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zp+FLa&#10;AAAADQEAAA8AAAAAAAAAAQAgAAAAIgAAAGRycy9kb3ducmV2LnhtbFBLAQIUABQAAAAIAIdO4kBM&#10;SLuEVwIAAJkEAAAOAAAAAAAAAAEAIAAAACkBAABkcnMvZTJvRG9jLnhtbFBLBQYAAAAABgAGAFkB&#10;AADyBQAAAAA=&#10;">
                <v:fill on="t" focussize="0,0"/>
                <v:stroke on="f" weight="1pt"/>
                <v:imagedata o:title=""/>
                <o:lock v:ext="edit" aspectratio="f"/>
                <v:textbox>
                  <w:txbxContent>
                    <w:p w14:paraId="14467A5B">
                      <w:pPr>
                        <w:jc w:val="center"/>
                        <w:rPr>
                          <w:rFonts w:hint="eastAsia" w:ascii="方正小标宋简体" w:hAnsi="方正小标宋简体" w:eastAsia="方正小标宋简体" w:cs="方正小标宋简体"/>
                          <w:b w:val="0"/>
                          <w:bCs w:val="0"/>
                          <w:color w:val="000000" w:themeColor="text1"/>
                          <w:sz w:val="28"/>
                          <w:szCs w:val="28"/>
                          <w:lang w:val="en-US" w:eastAsia="zh-CN"/>
                          <w14:textOutline w14:w="0" w14:cmpd="dbl">
                            <w14:solidFill>
                              <w14:schemeClr w14:val="tx1"/>
                            </w14:solidFill>
                            <w14:round/>
                          </w14:textOutline>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28"/>
                          <w:szCs w:val="28"/>
                          <w:lang w:val="en-US" w:eastAsia="zh-CN"/>
                          <w14:textOutline w14:w="0" w14:cmpd="dbl">
                            <w14:solidFill>
                              <w14:schemeClr w14:val="tx1"/>
                            </w14:solidFill>
                            <w14:round/>
                          </w14:textOutline>
                          <w14:textFill>
                            <w14:solidFill>
                              <w14:schemeClr w14:val="tx1"/>
                            </w14:solidFill>
                          </w14:textFill>
                        </w:rPr>
                        <w:t>下载版式</w:t>
                      </w:r>
                    </w:p>
                  </w:txbxContent>
                </v:textbox>
              </v:shape>
            </w:pict>
          </mc:Fallback>
        </mc:AlternateContent>
      </w:r>
    </w:p>
    <w:p w14:paraId="6BBD2688">
      <w:pPr>
        <w:keepNext w:val="0"/>
        <w:keepLines w:val="0"/>
        <w:pageBreakBefore w:val="0"/>
        <w:widowControl w:val="0"/>
        <w:kinsoku/>
        <w:overflowPunct/>
        <w:topLinePunct w:val="0"/>
        <w:autoSpaceDE/>
        <w:autoSpaceDN/>
        <w:bidi w:val="0"/>
        <w:adjustRightInd/>
        <w:snapToGrid/>
        <w:jc w:val="both"/>
        <w:rPr>
          <w:rFonts w:hint="eastAsia" w:asciiTheme="minorEastAsia" w:hAnsiTheme="minorEastAsia" w:eastAsiaTheme="minorEastAsia" w:cstheme="minorEastAsia"/>
          <w:sz w:val="44"/>
          <w:szCs w:val="44"/>
          <w:lang w:val="en-US" w:eastAsia="zh-CN"/>
        </w:rPr>
      </w:pPr>
    </w:p>
    <w:p w14:paraId="747326FE">
      <w:pPr>
        <w:keepNext w:val="0"/>
        <w:keepLines w:val="0"/>
        <w:pageBreakBefore w:val="0"/>
        <w:widowControl w:val="0"/>
        <w:shd w:val="clear" w:color="auto" w:fill="FFFFFF"/>
        <w:kinsoku/>
        <w:wordWrap w:val="0"/>
        <w:overflowPunct/>
        <w:topLinePunct w:val="0"/>
        <w:autoSpaceDE/>
        <w:autoSpaceDN/>
        <w:bidi w:val="0"/>
        <w:adjustRightInd/>
        <w:snapToGrid/>
        <w:spacing w:line="555" w:lineRule="atLeast"/>
        <w:ind w:firstLine="880" w:firstLineChars="200"/>
        <w:jc w:val="center"/>
        <w:rPr>
          <w:rFonts w:hint="eastAsia" w:ascii="宋体" w:hAnsi="宋体" w:eastAsia="宋体" w:cs="宋体"/>
          <w:color w:val="000000"/>
          <w:kern w:val="0"/>
          <w:sz w:val="44"/>
          <w:szCs w:val="44"/>
        </w:rPr>
      </w:pPr>
      <w:r>
        <w:rPr>
          <w:rFonts w:hint="eastAsia" w:ascii="宋体" w:hAnsi="宋体" w:eastAsia="宋体" w:cs="宋体"/>
          <w:color w:val="000000"/>
          <w:kern w:val="0"/>
          <w:sz w:val="44"/>
          <w:szCs w:val="44"/>
        </w:rPr>
        <w:t>天津市实施《中华人民共和国城镇土地使用税暂行条例》办法</w:t>
      </w:r>
    </w:p>
    <w:p w14:paraId="72BC2EA2">
      <w:pPr>
        <w:keepNext w:val="0"/>
        <w:keepLines w:val="0"/>
        <w:pageBreakBefore w:val="0"/>
        <w:widowControl w:val="0"/>
        <w:kinsoku/>
        <w:overflowPunct/>
        <w:topLinePunct w:val="0"/>
        <w:autoSpaceDE/>
        <w:autoSpaceDN/>
        <w:bidi w:val="0"/>
        <w:adjustRightInd/>
        <w:snapToGrid/>
        <w:rPr>
          <w:rFonts w:hint="eastAsia" w:ascii="宋体" w:hAnsi="宋体" w:eastAsia="宋体" w:cs="宋体"/>
          <w:i w:val="0"/>
          <w:caps w:val="0"/>
          <w:color w:val="333333"/>
          <w:spacing w:val="0"/>
          <w:sz w:val="36"/>
          <w:szCs w:val="36"/>
          <w:shd w:val="clear" w:fill="FFFFFF"/>
          <w:lang w:val="en-US" w:eastAsia="zh-CN"/>
        </w:rPr>
      </w:pPr>
    </w:p>
    <w:p w14:paraId="775D713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atLeast"/>
        <w:ind w:left="0" w:right="0" w:firstLine="640" w:firstLineChars="200"/>
        <w:jc w:val="both"/>
        <w:textAlignment w:val="baseline"/>
        <w:rPr>
          <w:rFonts w:hint="eastAsia" w:ascii="仿宋_GB2312" w:hAnsi="宋体" w:eastAsia="仿宋_GB2312" w:cs="宋体"/>
          <w:color w:val="3D3D3D"/>
          <w:kern w:val="0"/>
          <w:sz w:val="32"/>
          <w:szCs w:val="32"/>
        </w:rPr>
      </w:pPr>
      <w:r>
        <w:rPr>
          <w:rFonts w:hint="eastAsia" w:ascii="楷体_GB2312" w:hAnsi="仿宋" w:eastAsia="楷体_GB2312" w:cs="宋体"/>
          <w:color w:val="000000"/>
          <w:kern w:val="0"/>
          <w:sz w:val="32"/>
          <w:szCs w:val="32"/>
        </w:rPr>
        <w:t>（2007年7月3日经天津市人民政府第95次常务会议通过2007年7月27日天津市人民政府令第119号公布自公布之日起施行根据2020年12月5日天津市人民政府令第20号《天津市人民政府关于修改和废止部分规章的决定》修正）</w:t>
      </w:r>
      <w:r>
        <w:rPr>
          <w:rFonts w:hint="eastAsia" w:ascii="仿宋_GB2312" w:hAnsi="宋体" w:eastAsia="仿宋_GB2312" w:cs="宋体"/>
          <w:color w:val="3D3D3D"/>
          <w:kern w:val="0"/>
          <w:sz w:val="32"/>
          <w:szCs w:val="32"/>
        </w:rPr>
        <w:t>　</w:t>
      </w:r>
    </w:p>
    <w:p w14:paraId="3C9C7C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宋体" w:eastAsia="仿宋_GB2312" w:cs="宋体"/>
          <w:color w:val="3D3D3D"/>
          <w:kern w:val="0"/>
          <w:sz w:val="32"/>
          <w:szCs w:val="32"/>
        </w:rPr>
        <w:t>　</w:t>
      </w:r>
    </w:p>
    <w:p w14:paraId="787FEA6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atLeast"/>
        <w:ind w:left="0" w:right="0" w:firstLine="640" w:firstLineChars="200"/>
        <w:jc w:val="both"/>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第一条</w:t>
      </w:r>
      <w:r>
        <w:rPr>
          <w:rFonts w:hint="eastAsia" w:ascii="仿宋_GB2312" w:hAnsi="仿宋_GB2312" w:eastAsia="仿宋_GB2312" w:cs="仿宋_GB2312"/>
          <w:i w:val="0"/>
          <w:iCs w:val="0"/>
          <w:caps w:val="0"/>
          <w:color w:val="000000"/>
          <w:spacing w:val="0"/>
          <w:sz w:val="32"/>
          <w:szCs w:val="32"/>
          <w:shd w:val="clear" w:fill="FFFFFF"/>
          <w:vertAlign w:val="baseline"/>
        </w:rPr>
        <w:t>　根据《中华人民共和国城镇土地使用税暂行条例》（国务院令第483号），结合本市实际，制定本办法。</w:t>
      </w:r>
    </w:p>
    <w:p w14:paraId="4A933C6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第二条</w:t>
      </w:r>
      <w:r>
        <w:rPr>
          <w:rFonts w:hint="eastAsia" w:ascii="仿宋_GB2312" w:hAnsi="仿宋_GB2312" w:eastAsia="仿宋_GB2312" w:cs="仿宋_GB2312"/>
          <w:i w:val="0"/>
          <w:iCs w:val="0"/>
          <w:caps w:val="0"/>
          <w:color w:val="000000"/>
          <w:spacing w:val="0"/>
          <w:sz w:val="32"/>
          <w:szCs w:val="32"/>
          <w:shd w:val="clear" w:fill="FFFFFF"/>
          <w:vertAlign w:val="baseline"/>
        </w:rPr>
        <w:t>　在本市范围内使用城镇土地的单位和个人为城镇土地使用税（以下简称土地使用税）的纳税人，应当依照本办法的规定缴纳土地使用税。</w:t>
      </w:r>
    </w:p>
    <w:p w14:paraId="4586EF0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对土地使用权纠纷未解决的，暂由实际使用土地的单位和个人缴纳土地使用税。</w:t>
      </w:r>
    </w:p>
    <w:p w14:paraId="49C8EF9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第三条</w:t>
      </w:r>
      <w:r>
        <w:rPr>
          <w:rFonts w:hint="eastAsia" w:ascii="仿宋_GB2312" w:hAnsi="仿宋_GB2312" w:eastAsia="仿宋_GB2312" w:cs="仿宋_GB2312"/>
          <w:i w:val="0"/>
          <w:iCs w:val="0"/>
          <w:caps w:val="0"/>
          <w:color w:val="000000"/>
          <w:spacing w:val="0"/>
          <w:sz w:val="32"/>
          <w:szCs w:val="32"/>
          <w:shd w:val="clear" w:fill="FFFFFF"/>
          <w:vertAlign w:val="baseline"/>
        </w:rPr>
        <w:t>　土地使用税以土地使用证确认的面积为计税依据。</w:t>
      </w:r>
    </w:p>
    <w:p w14:paraId="027C340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尚未核发土地使用证或实际占用面积超过土地使用证确认面积的，纳税人应据实申报，税务机关核实计税。</w:t>
      </w:r>
    </w:p>
    <w:p w14:paraId="766763A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第四条　本市土地使用税计税等级划分为六等（土地使用税税额等级范围表附后）。</w:t>
      </w:r>
    </w:p>
    <w:p w14:paraId="7C333AD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各等级土地使用税每平方米年税额为：</w:t>
      </w:r>
    </w:p>
    <w:p w14:paraId="21A785C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（一）一等25元；</w:t>
      </w:r>
    </w:p>
    <w:p w14:paraId="2E5597F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（二）二等20元；</w:t>
      </w:r>
    </w:p>
    <w:p w14:paraId="1C641F0D">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（三）三等15元；</w:t>
      </w:r>
    </w:p>
    <w:p w14:paraId="1ECEFAD7">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（四）四等10元；</w:t>
      </w:r>
    </w:p>
    <w:p w14:paraId="51A55B9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（五）五等5元；</w:t>
      </w:r>
    </w:p>
    <w:p w14:paraId="1F651D8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（六）六等1.5元。</w:t>
      </w:r>
    </w:p>
    <w:p w14:paraId="6C92918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第五条</w:t>
      </w:r>
      <w:r>
        <w:rPr>
          <w:rFonts w:hint="eastAsia" w:ascii="仿宋_GB2312" w:hAnsi="仿宋_GB2312" w:eastAsia="仿宋_GB2312" w:cs="仿宋_GB2312"/>
          <w:i w:val="0"/>
          <w:iCs w:val="0"/>
          <w:caps w:val="0"/>
          <w:color w:val="000000"/>
          <w:spacing w:val="0"/>
          <w:sz w:val="32"/>
          <w:szCs w:val="32"/>
          <w:shd w:val="clear" w:fill="FFFFFF"/>
          <w:vertAlign w:val="baseline"/>
        </w:rPr>
        <w:t>　下列土地免缴土地使用税：</w:t>
      </w:r>
    </w:p>
    <w:p w14:paraId="223D565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（一）国家机关、人民团体、军队自用的土地；</w:t>
      </w:r>
    </w:p>
    <w:p w14:paraId="545B919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（二）由国家财政部门拨付事业经费的单位自用的土地；</w:t>
      </w:r>
    </w:p>
    <w:p w14:paraId="580B70C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（三）宗教寺庙、公园、名胜古迹自用的土地；</w:t>
      </w:r>
    </w:p>
    <w:p w14:paraId="6EFDAB9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（四）市政街道、广场、绿化地带等公共用地；</w:t>
      </w:r>
    </w:p>
    <w:p w14:paraId="7360CA0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（五）直接用于农、林、牧、渔业的生产用地（不包括农副产品加工场地和生活、办公用地）；</w:t>
      </w:r>
    </w:p>
    <w:p w14:paraId="2440E70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（六）经批准开山填海整治的土地和改造的废弃土地，从使用的月份起免缴土地使用税10年；</w:t>
      </w:r>
    </w:p>
    <w:p w14:paraId="537BB48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（七）个人所有的自住房屋占用的土地及院落用地；</w:t>
      </w:r>
    </w:p>
    <w:p w14:paraId="1ECAB6A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（八）由国家财政部门另行规定免税的能源、交通、水利设施用地和其他用地。</w:t>
      </w:r>
    </w:p>
    <w:p w14:paraId="6744B0F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前款（一）（二）（三）项中，凡为生产、营业用地和其他非自用土地，不属于免税范围。</w:t>
      </w:r>
    </w:p>
    <w:p w14:paraId="09896CF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第六条</w:t>
      </w:r>
      <w:r>
        <w:rPr>
          <w:rFonts w:hint="eastAsia" w:ascii="仿宋_GB2312" w:hAnsi="仿宋_GB2312" w:eastAsia="仿宋_GB2312" w:cs="仿宋_GB2312"/>
          <w:i w:val="0"/>
          <w:iCs w:val="0"/>
          <w:caps w:val="0"/>
          <w:color w:val="000000"/>
          <w:spacing w:val="0"/>
          <w:sz w:val="32"/>
          <w:szCs w:val="32"/>
          <w:shd w:val="clear" w:fill="FFFFFF"/>
          <w:vertAlign w:val="baseline"/>
        </w:rPr>
        <w:t>　除本办法第五条规定外，纳税人缴纳土地使用税确有困难的，可向土地所在地的税务机关提出减免税申请，由税务机关按照有关规定程序办理。</w:t>
      </w:r>
    </w:p>
    <w:p w14:paraId="54E3408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第七条</w:t>
      </w:r>
      <w:r>
        <w:rPr>
          <w:rFonts w:hint="eastAsia" w:ascii="仿宋_GB2312" w:hAnsi="仿宋_GB2312" w:eastAsia="仿宋_GB2312" w:cs="仿宋_GB2312"/>
          <w:i w:val="0"/>
          <w:iCs w:val="0"/>
          <w:caps w:val="0"/>
          <w:color w:val="000000"/>
          <w:spacing w:val="0"/>
          <w:sz w:val="32"/>
          <w:szCs w:val="32"/>
          <w:shd w:val="clear" w:fill="FFFFFF"/>
          <w:vertAlign w:val="baseline"/>
        </w:rPr>
        <w:t>　土地使用税按年计算，每年分两期缴纳，分别为5月和11月。</w:t>
      </w:r>
    </w:p>
    <w:p w14:paraId="27D729F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第八条</w:t>
      </w:r>
      <w:r>
        <w:rPr>
          <w:rFonts w:hint="eastAsia" w:ascii="仿宋_GB2312" w:hAnsi="仿宋_GB2312" w:eastAsia="仿宋_GB2312" w:cs="仿宋_GB2312"/>
          <w:i w:val="0"/>
          <w:iCs w:val="0"/>
          <w:caps w:val="0"/>
          <w:color w:val="000000"/>
          <w:spacing w:val="0"/>
          <w:sz w:val="32"/>
          <w:szCs w:val="32"/>
          <w:shd w:val="clear" w:fill="FFFFFF"/>
          <w:vertAlign w:val="baseline"/>
        </w:rPr>
        <w:t>　新征收的土地，按照下列规定缴纳土地使用税：</w:t>
      </w:r>
    </w:p>
    <w:p w14:paraId="771CF5F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（一）征收的耕地，自批准征用之日起满1年时，开始缴纳土地使用税；</w:t>
      </w:r>
    </w:p>
    <w:p w14:paraId="225C6DB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（二）征收的非耕地，自批准征用次月起缴纳土地使用税。</w:t>
      </w:r>
    </w:p>
    <w:p w14:paraId="7879B00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第九条</w:t>
      </w:r>
      <w:r>
        <w:rPr>
          <w:rFonts w:hint="eastAsia" w:ascii="仿宋_GB2312" w:hAnsi="仿宋_GB2312" w:eastAsia="仿宋_GB2312" w:cs="仿宋_GB2312"/>
          <w:i w:val="0"/>
          <w:iCs w:val="0"/>
          <w:caps w:val="0"/>
          <w:color w:val="000000"/>
          <w:spacing w:val="0"/>
          <w:sz w:val="32"/>
          <w:szCs w:val="32"/>
          <w:shd w:val="clear" w:fill="FFFFFF"/>
          <w:vertAlign w:val="baseline"/>
        </w:rPr>
        <w:t>　土地使用税由土地所在地的税务机关负责征收。</w:t>
      </w:r>
    </w:p>
    <w:p w14:paraId="1702E54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第十条</w:t>
      </w:r>
      <w:r>
        <w:rPr>
          <w:rFonts w:hint="eastAsia" w:ascii="仿宋_GB2312" w:hAnsi="仿宋_GB2312" w:eastAsia="仿宋_GB2312" w:cs="仿宋_GB2312"/>
          <w:i w:val="0"/>
          <w:iCs w:val="0"/>
          <w:caps w:val="0"/>
          <w:color w:val="000000"/>
          <w:spacing w:val="0"/>
          <w:sz w:val="32"/>
          <w:szCs w:val="32"/>
          <w:shd w:val="clear" w:fill="FFFFFF"/>
          <w:vertAlign w:val="baseline"/>
        </w:rPr>
        <w:t>　规划和自然资源主管部门应当向税务机关提供与土地相关的权属资料，具体办法由税务机关与土地管理部门商定。</w:t>
      </w:r>
    </w:p>
    <w:p w14:paraId="3B6BB1F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vertAlign w:val="baseline"/>
        </w:rPr>
        <w:t>第十一条</w:t>
      </w:r>
      <w:r>
        <w:rPr>
          <w:rFonts w:hint="eastAsia" w:ascii="仿宋_GB2312" w:hAnsi="仿宋_GB2312" w:eastAsia="仿宋_GB2312" w:cs="仿宋_GB2312"/>
          <w:i w:val="0"/>
          <w:iCs w:val="0"/>
          <w:caps w:val="0"/>
          <w:color w:val="000000"/>
          <w:spacing w:val="0"/>
          <w:sz w:val="32"/>
          <w:szCs w:val="32"/>
          <w:shd w:val="clear" w:fill="FFFFFF"/>
          <w:vertAlign w:val="baseline"/>
        </w:rPr>
        <w:t>　土地使用税的征收管理按照《中华人民共和国税收征收管理法》、《中华人民共和国税收征收管理法实施细则》（国务院令第362号）、《中华人民共和国城镇土地使用税暂行条例》的规定执行。</w:t>
      </w:r>
    </w:p>
    <w:p w14:paraId="67A1B9B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shd w:val="clear" w:fill="FFFFFF"/>
          <w:vertAlign w:val="baseline"/>
        </w:rPr>
      </w:pPr>
      <w:r>
        <w:rPr>
          <w:rFonts w:hint="eastAsia" w:ascii="黑体" w:hAnsi="黑体" w:eastAsia="黑体" w:cs="黑体"/>
          <w:i w:val="0"/>
          <w:iCs w:val="0"/>
          <w:caps w:val="0"/>
          <w:color w:val="000000"/>
          <w:spacing w:val="0"/>
          <w:sz w:val="32"/>
          <w:szCs w:val="32"/>
          <w:shd w:val="clear" w:fill="FFFFFF"/>
          <w:vertAlign w:val="baseline"/>
        </w:rPr>
        <w:t>第十二条</w:t>
      </w:r>
      <w:r>
        <w:rPr>
          <w:rFonts w:hint="eastAsia" w:ascii="仿宋_GB2312" w:hAnsi="仿宋_GB2312" w:eastAsia="仿宋_GB2312" w:cs="仿宋_GB2312"/>
          <w:i w:val="0"/>
          <w:iCs w:val="0"/>
          <w:caps w:val="0"/>
          <w:color w:val="000000"/>
          <w:spacing w:val="0"/>
          <w:sz w:val="32"/>
          <w:szCs w:val="32"/>
          <w:shd w:val="clear" w:fill="FFFFFF"/>
          <w:vertAlign w:val="baseline"/>
        </w:rPr>
        <w:t>　本办法自公布之日起施行。1988年12月16日市人民政府发布的《天津市实施〈中华人民共和国城镇土地使用税暂行条例〉的办法》（1988年市人民政府令第9号）同时停止执行。</w:t>
      </w:r>
    </w:p>
    <w:p w14:paraId="794C074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shd w:val="clear" w:fill="FFFFFF"/>
          <w:vertAlign w:val="baseline"/>
        </w:rPr>
      </w:pPr>
    </w:p>
    <w:p w14:paraId="72D9B46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55"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附件：土地使用税税额等级范围表</w:t>
      </w:r>
    </w:p>
    <w:p w14:paraId="375BFB5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atLeast"/>
        <w:ind w:left="0" w:right="0" w:firstLine="640" w:firstLineChars="20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3A3A3A"/>
          <w:spacing w:val="0"/>
          <w:sz w:val="32"/>
          <w:szCs w:val="32"/>
          <w:shd w:val="clear" w:fill="FFFFFF"/>
          <w:vertAlign w:val="baseline"/>
        </w:rPr>
        <w:t> </w:t>
      </w:r>
    </w:p>
    <w:p w14:paraId="72A2021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atLeast"/>
        <w:ind w:left="0" w:right="0" w:firstLine="0"/>
        <w:textAlignment w:val="baseline"/>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vertAlign w:val="baseline"/>
        </w:rPr>
        <w:t>附件</w:t>
      </w:r>
    </w:p>
    <w:p w14:paraId="725F44A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atLeast"/>
        <w:ind w:left="0" w:right="0" w:firstLine="0"/>
        <w:jc w:val="center"/>
        <w:textAlignment w:val="baseline"/>
        <w:rPr>
          <w:rFonts w:hint="eastAsia" w:ascii="宋体" w:hAnsi="宋体" w:eastAsia="宋体" w:cs="宋体"/>
          <w:i w:val="0"/>
          <w:iCs w:val="0"/>
          <w:caps w:val="0"/>
          <w:color w:val="000000"/>
          <w:spacing w:val="0"/>
          <w:sz w:val="44"/>
          <w:szCs w:val="44"/>
          <w:shd w:val="clear" w:fill="FFFFFF"/>
          <w:vertAlign w:val="baseline"/>
        </w:rPr>
      </w:pPr>
      <w:r>
        <w:rPr>
          <w:rFonts w:hint="eastAsia" w:ascii="宋体" w:hAnsi="宋体" w:eastAsia="宋体" w:cs="宋体"/>
          <w:i w:val="0"/>
          <w:iCs w:val="0"/>
          <w:caps w:val="0"/>
          <w:color w:val="000000"/>
          <w:spacing w:val="0"/>
          <w:sz w:val="44"/>
          <w:szCs w:val="44"/>
          <w:shd w:val="clear" w:fill="FFFFFF"/>
          <w:vertAlign w:val="baseline"/>
        </w:rPr>
        <w:t>土地使用税税额等级范围表</w:t>
      </w:r>
    </w:p>
    <w:tbl>
      <w:tblPr>
        <w:tblStyle w:val="7"/>
        <w:tblW w:w="852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45"/>
        <w:gridCol w:w="1275"/>
        <w:gridCol w:w="6000"/>
      </w:tblGrid>
      <w:tr w14:paraId="36FA7E1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245"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14:paraId="5E8CA637">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b w:val="0"/>
                <w:bCs w:val="0"/>
              </w:rPr>
            </w:pPr>
            <w:r>
              <w:rPr>
                <w:rFonts w:hint="eastAsia" w:ascii="仿宋_GB2312" w:hAnsi="仿宋_GB2312" w:eastAsia="仿宋_GB2312" w:cs="仿宋_GB2312"/>
                <w:b w:val="0"/>
                <w:bCs w:val="0"/>
                <w:color w:val="000000"/>
                <w:spacing w:val="-30"/>
                <w:sz w:val="30"/>
                <w:szCs w:val="30"/>
                <w:vertAlign w:val="baseline"/>
              </w:rPr>
              <w:t>计税等级</w:t>
            </w:r>
          </w:p>
        </w:tc>
        <w:tc>
          <w:tcPr>
            <w:tcW w:w="1275" w:type="dxa"/>
            <w:tcBorders>
              <w:top w:val="single" w:color="auto" w:sz="6" w:space="0"/>
              <w:left w:val="single" w:color="000000" w:sz="6" w:space="0"/>
              <w:bottom w:val="single" w:color="auto" w:sz="6" w:space="0"/>
              <w:right w:val="single" w:color="auto" w:sz="6" w:space="0"/>
            </w:tcBorders>
            <w:shd w:val="clear" w:color="auto" w:fill="auto"/>
            <w:vAlign w:val="center"/>
          </w:tcPr>
          <w:p w14:paraId="277AF487">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b w:val="0"/>
                <w:bCs w:val="0"/>
              </w:rPr>
            </w:pPr>
            <w:r>
              <w:rPr>
                <w:rFonts w:hint="eastAsia" w:ascii="仿宋_GB2312" w:hAnsi="仿宋_GB2312" w:eastAsia="仿宋_GB2312" w:cs="仿宋_GB2312"/>
                <w:b w:val="0"/>
                <w:bCs w:val="0"/>
                <w:color w:val="000000"/>
                <w:spacing w:val="-30"/>
                <w:sz w:val="30"/>
                <w:szCs w:val="30"/>
                <w:vertAlign w:val="baseline"/>
              </w:rPr>
              <w:t>税额（单位：元/平方米）</w:t>
            </w:r>
          </w:p>
        </w:tc>
        <w:tc>
          <w:tcPr>
            <w:tcW w:w="6000" w:type="dxa"/>
            <w:tcBorders>
              <w:top w:val="single" w:color="auto" w:sz="6" w:space="0"/>
              <w:left w:val="single" w:color="000000" w:sz="6" w:space="0"/>
              <w:bottom w:val="single" w:color="auto" w:sz="6" w:space="0"/>
              <w:right w:val="single" w:color="auto" w:sz="6" w:space="0"/>
            </w:tcBorders>
            <w:shd w:val="clear" w:color="auto" w:fill="auto"/>
            <w:vAlign w:val="center"/>
          </w:tcPr>
          <w:p w14:paraId="0BB717E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b w:val="0"/>
                <w:bCs w:val="0"/>
              </w:rPr>
            </w:pPr>
            <w:r>
              <w:rPr>
                <w:rFonts w:hint="eastAsia" w:ascii="仿宋_GB2312" w:hAnsi="仿宋_GB2312" w:eastAsia="仿宋_GB2312" w:cs="仿宋_GB2312"/>
                <w:b w:val="0"/>
                <w:bCs w:val="0"/>
                <w:color w:val="000000"/>
                <w:spacing w:val="-30"/>
                <w:sz w:val="30"/>
                <w:szCs w:val="30"/>
                <w:vertAlign w:val="baseline"/>
              </w:rPr>
              <w:t>计税级别界限范围</w:t>
            </w:r>
          </w:p>
        </w:tc>
      </w:tr>
      <w:tr w14:paraId="16B13B0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2011" w:hRule="atLeast"/>
          <w:jc w:val="center"/>
        </w:trPr>
        <w:tc>
          <w:tcPr>
            <w:tcW w:w="1245" w:type="dxa"/>
            <w:tcBorders>
              <w:top w:val="single" w:color="000000" w:sz="6" w:space="0"/>
              <w:left w:val="single" w:color="auto" w:sz="6" w:space="0"/>
              <w:bottom w:val="single" w:color="auto" w:sz="6" w:space="0"/>
              <w:right w:val="single" w:color="auto" w:sz="6" w:space="0"/>
            </w:tcBorders>
            <w:shd w:val="clear" w:color="auto" w:fill="auto"/>
            <w:tcMar>
              <w:left w:w="105" w:type="dxa"/>
              <w:right w:w="105" w:type="dxa"/>
            </w:tcMar>
            <w:vAlign w:val="top"/>
          </w:tcPr>
          <w:p w14:paraId="2A38DF9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一等</w:t>
            </w:r>
          </w:p>
        </w:tc>
        <w:tc>
          <w:tcPr>
            <w:tcW w:w="1275"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49CA401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25</w:t>
            </w:r>
          </w:p>
        </w:tc>
        <w:tc>
          <w:tcPr>
            <w:tcW w:w="6000"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40751A7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滨江道沿街           解放路－南京路</w:t>
            </w:r>
          </w:p>
          <w:p w14:paraId="6C5A941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解放路沿街           解放桥－徐州道</w:t>
            </w:r>
          </w:p>
          <w:p w14:paraId="64BBDFB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和平路沿街           东南角－营口道</w:t>
            </w:r>
          </w:p>
          <w:p w14:paraId="3C84257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成都道沿街           南京路－西康路</w:t>
            </w:r>
          </w:p>
          <w:p w14:paraId="19E6A2D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重庆道沿街           河北路－昆明路</w:t>
            </w:r>
          </w:p>
          <w:p w14:paraId="158BC93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常德道沿街           衡阳路－西康路</w:t>
            </w:r>
          </w:p>
          <w:p w14:paraId="3085513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大理道沿街           河北路－西康路</w:t>
            </w:r>
          </w:p>
          <w:p w14:paraId="61A0A24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睦南道沿街           河北路－西康路</w:t>
            </w:r>
          </w:p>
          <w:p w14:paraId="064EFFE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马场道沿街           南京路－西康路</w:t>
            </w:r>
          </w:p>
          <w:p w14:paraId="24C1075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新华路沿街           赤峰道－福安大街</w:t>
            </w:r>
          </w:p>
          <w:p w14:paraId="1496B73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长春道沿街           南京路－大沽路</w:t>
            </w:r>
          </w:p>
          <w:p w14:paraId="34CB4AD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48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大沽北路沿街           张自忠路－南京路</w:t>
            </w:r>
          </w:p>
          <w:p w14:paraId="6EEB1B07">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曲阜道沿街           台儿庄路－南京路</w:t>
            </w:r>
          </w:p>
          <w:p w14:paraId="7D96110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南京路沿街           南开三马路－台儿庄路</w:t>
            </w:r>
          </w:p>
          <w:p w14:paraId="66709C1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东马路沿街           东北角－东南角  </w:t>
            </w:r>
          </w:p>
          <w:p w14:paraId="2DC620D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北马路沿街           东北角－北门外大街</w:t>
            </w:r>
          </w:p>
        </w:tc>
      </w:tr>
      <w:tr w14:paraId="2B40D9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2446" w:hRule="atLeast"/>
          <w:jc w:val="center"/>
        </w:trPr>
        <w:tc>
          <w:tcPr>
            <w:tcW w:w="1245" w:type="dxa"/>
            <w:tcBorders>
              <w:top w:val="single" w:color="000000" w:sz="6" w:space="0"/>
              <w:left w:val="single" w:color="auto" w:sz="6" w:space="0"/>
              <w:bottom w:val="single" w:color="auto" w:sz="6" w:space="0"/>
              <w:right w:val="single" w:color="auto" w:sz="6" w:space="0"/>
            </w:tcBorders>
            <w:shd w:val="clear" w:color="auto" w:fill="auto"/>
            <w:tcMar>
              <w:left w:w="105" w:type="dxa"/>
              <w:right w:w="105" w:type="dxa"/>
            </w:tcMar>
            <w:vAlign w:val="top"/>
          </w:tcPr>
          <w:p w14:paraId="00BC437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二等</w:t>
            </w:r>
          </w:p>
        </w:tc>
        <w:tc>
          <w:tcPr>
            <w:tcW w:w="1275"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4CC8509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20</w:t>
            </w:r>
          </w:p>
        </w:tc>
        <w:tc>
          <w:tcPr>
            <w:tcW w:w="6000"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118BF7F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48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张自忠路沿街           通北路－赤峰道</w:t>
            </w:r>
          </w:p>
          <w:p w14:paraId="06348C0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48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台儿庄路沿街           赤峰道－奉化道</w:t>
            </w:r>
          </w:p>
          <w:p w14:paraId="46DF7A57">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营口道沿街           张自忠路－新兴路</w:t>
            </w:r>
          </w:p>
          <w:p w14:paraId="3A608CA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48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大沽南路沿街           南京路－围堤道</w:t>
            </w:r>
          </w:p>
          <w:p w14:paraId="530661B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85"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永安道沿街           友谊北路－广东路</w:t>
            </w:r>
          </w:p>
          <w:p w14:paraId="07FCA3B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85"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友谊路沿街           马场道—宾水道</w:t>
            </w:r>
          </w:p>
          <w:p w14:paraId="5221B6C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85"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中山路沿街           吕纬路－海河</w:t>
            </w:r>
          </w:p>
          <w:p w14:paraId="41F9FCE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85"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金纬路沿街           中山路—狮子林大街</w:t>
            </w:r>
          </w:p>
          <w:p w14:paraId="6DF5EA0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85" w:lineRule="atLeast"/>
              <w:ind w:left="0" w:right="0" w:firstLine="48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十一经路沿街           津塘公路－海河</w:t>
            </w:r>
          </w:p>
          <w:p w14:paraId="0D58842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85" w:lineRule="atLeast"/>
              <w:ind w:left="0" w:right="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水上公园北道沿街           卫津南路－水上公园西路</w:t>
            </w:r>
          </w:p>
          <w:p w14:paraId="370B34C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48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鞍山西道沿街           卫津路－红旗路</w:t>
            </w:r>
          </w:p>
          <w:p w14:paraId="720DA4B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西康路沿街           中环线－营口道</w:t>
            </w:r>
          </w:p>
          <w:p w14:paraId="70EEFBF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新兴路沿街           营口道-卫津路</w:t>
            </w:r>
          </w:p>
          <w:p w14:paraId="3B7476B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15"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长江道沿街           南开三马路－红旗路</w:t>
            </w:r>
          </w:p>
          <w:p w14:paraId="754E99D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15" w:lineRule="atLeast"/>
              <w:ind w:left="0" w:right="0" w:firstLine="24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南门外大街沿街           南马路—南京路</w:t>
            </w:r>
          </w:p>
          <w:p w14:paraId="137CAA2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南马路沿街           东马路－西马路</w:t>
            </w:r>
          </w:p>
          <w:p w14:paraId="7E81764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firstLine="72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北马路沿街           北门外大街－西北角</w:t>
            </w:r>
          </w:p>
        </w:tc>
      </w:tr>
      <w:tr w14:paraId="3AD09AF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245" w:type="dxa"/>
            <w:tcBorders>
              <w:top w:val="single" w:color="000000" w:sz="6" w:space="0"/>
              <w:left w:val="single" w:color="auto" w:sz="6" w:space="0"/>
              <w:bottom w:val="single" w:color="auto" w:sz="6" w:space="0"/>
              <w:right w:val="single" w:color="auto" w:sz="6" w:space="0"/>
            </w:tcBorders>
            <w:shd w:val="clear" w:color="auto" w:fill="auto"/>
            <w:tcMar>
              <w:left w:w="105" w:type="dxa"/>
              <w:right w:w="105" w:type="dxa"/>
            </w:tcMar>
            <w:vAlign w:val="top"/>
          </w:tcPr>
          <w:p w14:paraId="012BE8C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三等</w:t>
            </w:r>
          </w:p>
        </w:tc>
        <w:tc>
          <w:tcPr>
            <w:tcW w:w="1275"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1F060D0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15</w:t>
            </w:r>
          </w:p>
        </w:tc>
        <w:tc>
          <w:tcPr>
            <w:tcW w:w="6000"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12CB60D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除一、二等级以外的内环线以内区域</w:t>
            </w:r>
          </w:p>
        </w:tc>
      </w:tr>
      <w:tr w14:paraId="57A9907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245" w:type="dxa"/>
            <w:tcBorders>
              <w:top w:val="single" w:color="000000" w:sz="6" w:space="0"/>
              <w:left w:val="single" w:color="auto" w:sz="6" w:space="0"/>
              <w:bottom w:val="single" w:color="auto" w:sz="6" w:space="0"/>
              <w:right w:val="single" w:color="auto" w:sz="6" w:space="0"/>
            </w:tcBorders>
            <w:shd w:val="clear" w:color="auto" w:fill="auto"/>
            <w:tcMar>
              <w:left w:w="105" w:type="dxa"/>
              <w:right w:w="105" w:type="dxa"/>
            </w:tcMar>
            <w:vAlign w:val="top"/>
          </w:tcPr>
          <w:p w14:paraId="7EFEB3F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四等</w:t>
            </w:r>
          </w:p>
        </w:tc>
        <w:tc>
          <w:tcPr>
            <w:tcW w:w="1275"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48CB274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10</w:t>
            </w:r>
          </w:p>
        </w:tc>
        <w:tc>
          <w:tcPr>
            <w:tcW w:w="6000"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4AB3821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除一、二等级以外的内环线以外至中环线以内区域</w:t>
            </w:r>
          </w:p>
        </w:tc>
      </w:tr>
      <w:tr w14:paraId="6772E51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930" w:hRule="atLeast"/>
          <w:jc w:val="center"/>
        </w:trPr>
        <w:tc>
          <w:tcPr>
            <w:tcW w:w="1245" w:type="dxa"/>
            <w:tcBorders>
              <w:top w:val="single" w:color="000000" w:sz="6" w:space="0"/>
              <w:left w:val="single" w:color="auto" w:sz="6" w:space="0"/>
              <w:bottom w:val="single" w:color="auto" w:sz="6" w:space="0"/>
              <w:right w:val="single" w:color="auto" w:sz="6" w:space="0"/>
            </w:tcBorders>
            <w:shd w:val="clear" w:color="auto" w:fill="auto"/>
            <w:tcMar>
              <w:left w:w="105" w:type="dxa"/>
              <w:right w:w="105" w:type="dxa"/>
            </w:tcMar>
            <w:vAlign w:val="top"/>
          </w:tcPr>
          <w:p w14:paraId="58FEE94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五等</w:t>
            </w:r>
          </w:p>
        </w:tc>
        <w:tc>
          <w:tcPr>
            <w:tcW w:w="1275"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618AE68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5</w:t>
            </w:r>
          </w:p>
        </w:tc>
        <w:tc>
          <w:tcPr>
            <w:tcW w:w="6000"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768051E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除一、二等级以外的中环线以外至外环线以内区域，滨海新区杭州道街、新河街、大沽街、新村街、新港街、塘沽街，天津经济技术开发区，天津港保税区，天津滨海高新技术产业开发区在外环线以内的区域</w:t>
            </w:r>
          </w:p>
        </w:tc>
      </w:tr>
      <w:tr w14:paraId="360296F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jc w:val="center"/>
        </w:trPr>
        <w:tc>
          <w:tcPr>
            <w:tcW w:w="1245" w:type="dxa"/>
            <w:tcBorders>
              <w:top w:val="single" w:color="000000" w:sz="6" w:space="0"/>
              <w:left w:val="single" w:color="auto" w:sz="6" w:space="0"/>
              <w:bottom w:val="single" w:color="auto" w:sz="6" w:space="0"/>
              <w:right w:val="single" w:color="auto" w:sz="6" w:space="0"/>
            </w:tcBorders>
            <w:shd w:val="clear" w:color="auto" w:fill="auto"/>
            <w:tcMar>
              <w:left w:w="105" w:type="dxa"/>
              <w:right w:w="105" w:type="dxa"/>
            </w:tcMar>
            <w:vAlign w:val="top"/>
          </w:tcPr>
          <w:p w14:paraId="1E28503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六等</w:t>
            </w:r>
          </w:p>
        </w:tc>
        <w:tc>
          <w:tcPr>
            <w:tcW w:w="1275"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0D3BD5D7">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jc w:val="center"/>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30"/>
                <w:szCs w:val="30"/>
                <w:vertAlign w:val="baseline"/>
              </w:rPr>
              <w:t>1.5</w:t>
            </w:r>
          </w:p>
        </w:tc>
        <w:tc>
          <w:tcPr>
            <w:tcW w:w="6000" w:type="dxa"/>
            <w:tcBorders>
              <w:top w:val="single" w:color="000000" w:sz="6" w:space="0"/>
              <w:left w:val="single" w:color="000000" w:sz="6" w:space="0"/>
              <w:bottom w:val="single" w:color="auto" w:sz="6" w:space="0"/>
              <w:right w:val="single" w:color="auto" w:sz="6" w:space="0"/>
            </w:tcBorders>
            <w:shd w:val="clear" w:color="auto" w:fill="auto"/>
            <w:tcMar>
              <w:left w:w="105" w:type="dxa"/>
              <w:right w:w="105" w:type="dxa"/>
            </w:tcMar>
            <w:vAlign w:val="top"/>
          </w:tcPr>
          <w:p w14:paraId="53B8E4B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atLeast"/>
              <w:ind w:left="0" w:right="0"/>
              <w:textAlignment w:val="baseline"/>
              <w:rPr>
                <w:rFonts w:hint="eastAsia" w:ascii="仿宋_GB2312" w:hAnsi="仿宋_GB2312" w:eastAsia="仿宋_GB2312" w:cs="仿宋_GB2312"/>
              </w:rPr>
            </w:pPr>
            <w:r>
              <w:rPr>
                <w:rFonts w:hint="eastAsia" w:ascii="仿宋_GB2312" w:hAnsi="仿宋_GB2312" w:eastAsia="仿宋_GB2312" w:cs="仿宋_GB2312"/>
                <w:color w:val="000000"/>
                <w:sz w:val="24"/>
                <w:szCs w:val="24"/>
                <w:vertAlign w:val="baseline"/>
              </w:rPr>
              <w:t>东丽区、西青区、津南区、北辰区在外环线以外的区域，武清区、宝坻区、宁河区、静海区、蓟州区全境，滨海新区除杭州道街、新河街、大沽街、新村街、新港街、塘沽街、天津经济技术开发区、天津港保税区以外区域，天津滨海高新技术产业开发区在外环线以外的区域</w:t>
            </w:r>
          </w:p>
        </w:tc>
      </w:tr>
    </w:tbl>
    <w:p w14:paraId="63D3200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40" w:lineRule="atLeast"/>
        <w:ind w:left="0" w:right="0" w:firstLine="0"/>
        <w:textAlignment w:val="baseline"/>
        <w:rPr>
          <w:rFonts w:ascii="仿宋_GB2312" w:hAnsi="仿宋_GB2312" w:eastAsia="仿宋_GB2312" w:cs="仿宋_GB2312"/>
          <w:color w:val="333333"/>
          <w:sz w:val="32"/>
          <w:szCs w:val="32"/>
          <w:shd w:val="clear" w:color="auto" w:fill="FFFFFF"/>
        </w:rPr>
      </w:pPr>
      <w:r>
        <w:rPr>
          <w:rFonts w:hint="eastAsia" w:ascii="宋体" w:hAnsi="宋体" w:eastAsia="宋体" w:cs="宋体"/>
          <w:i w:val="0"/>
          <w:iCs w:val="0"/>
          <w:caps w:val="0"/>
          <w:color w:val="000000"/>
          <w:spacing w:val="0"/>
          <w:sz w:val="24"/>
          <w:szCs w:val="24"/>
          <w:shd w:val="clear" w:fill="FFFFFF"/>
          <w:vertAlign w:val="baseline"/>
        </w:rPr>
        <w:t> </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C0ED9">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0574D">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- 5 -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0F0574D">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- 5 -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4DA04AB4">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天津市人民政府发布     </w:t>
    </w:r>
  </w:p>
  <w:p w14:paraId="24A5C36E">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56485">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45D09B99">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天津市人民政府规章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B767D"/>
    <w:rsid w:val="00172A27"/>
    <w:rsid w:val="001A4DE7"/>
    <w:rsid w:val="001D0CBC"/>
    <w:rsid w:val="00260096"/>
    <w:rsid w:val="002721BB"/>
    <w:rsid w:val="002A78C5"/>
    <w:rsid w:val="00327163"/>
    <w:rsid w:val="003403EF"/>
    <w:rsid w:val="00662D21"/>
    <w:rsid w:val="00665D59"/>
    <w:rsid w:val="006703CB"/>
    <w:rsid w:val="006D4492"/>
    <w:rsid w:val="007B6BBD"/>
    <w:rsid w:val="00874F1E"/>
    <w:rsid w:val="009A2D17"/>
    <w:rsid w:val="00A848EC"/>
    <w:rsid w:val="00A92DA0"/>
    <w:rsid w:val="00B05D73"/>
    <w:rsid w:val="00B77F74"/>
    <w:rsid w:val="00C07E78"/>
    <w:rsid w:val="00D327A6"/>
    <w:rsid w:val="00E43D26"/>
    <w:rsid w:val="019E71BD"/>
    <w:rsid w:val="04B679C3"/>
    <w:rsid w:val="080F63D8"/>
    <w:rsid w:val="09341458"/>
    <w:rsid w:val="0B0912D7"/>
    <w:rsid w:val="152D2DCA"/>
    <w:rsid w:val="1DEC284C"/>
    <w:rsid w:val="1E6523AC"/>
    <w:rsid w:val="22440422"/>
    <w:rsid w:val="30550879"/>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6977D83"/>
    <w:rsid w:val="572C6D10"/>
    <w:rsid w:val="5A59440D"/>
    <w:rsid w:val="5DC34279"/>
    <w:rsid w:val="60873DED"/>
    <w:rsid w:val="608816D1"/>
    <w:rsid w:val="60EF4E7F"/>
    <w:rsid w:val="665233C1"/>
    <w:rsid w:val="6AD9688B"/>
    <w:rsid w:val="6D0E3F22"/>
    <w:rsid w:val="75903BD0"/>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customStyle="1" w:styleId="9">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1425</Words>
  <Characters>1606</Characters>
  <Lines>15</Lines>
  <Paragraphs>4</Paragraphs>
  <TotalTime>1</TotalTime>
  <ScaleCrop>false</ScaleCrop>
  <LinksUpToDate>false</LinksUpToDate>
  <CharactersWithSpaces>1636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2021-11-18T01:46:00Z</dcterms:created>
  <dc:creator>t</dc:creator>
  <cp:lastModifiedBy>茶_末香</cp:lastModifiedBy>
  <cp:lastPrinted>2021-10-26T03:30:00Z</cp:lastPrinted>
  <dcterms:modified xsi:type="dcterms:W3CDTF">2025-02-14T08:49:01Z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DD7E6C42177F455CBAADE063AE8ADD56_13</vt:lpwstr>
  </property>
  <property fmtid="{D5CDD505-2E9C-101B-9397-08002B2CF9AE}" pid="4" name="KSOTemplateDocerSaveRecord">
    <vt:lpwstr>eyJoZGlkIjoiMmZjZDY2MmM0ZGU4OTQ1NDBmOWM3ZTg2ZmJlNGY5ZmMiLCJ1c2VySWQiOiI4ODIzMzI0NzEifQ==</vt:lpwstr>
  </property>
</Properties>
</file>