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64" w:rsidRDefault="00CE4F64" w:rsidP="00CE4F64">
      <w:pPr>
        <w:pStyle w:val="a7"/>
        <w:jc w:val="center"/>
        <w:rPr>
          <w:rFonts w:asciiTheme="majorEastAsia" w:eastAsiaTheme="majorEastAsia" w:hAnsiTheme="majorEastAsia" w:cs="宋体" w:hint="eastAsia"/>
          <w:sz w:val="44"/>
          <w:szCs w:val="44"/>
        </w:rPr>
      </w:pPr>
    </w:p>
    <w:p w:rsidR="00CE4F64" w:rsidRDefault="00CE4F64" w:rsidP="00CE4F64">
      <w:pPr>
        <w:pStyle w:val="a7"/>
        <w:jc w:val="center"/>
        <w:rPr>
          <w:rFonts w:asciiTheme="majorEastAsia" w:eastAsiaTheme="majorEastAsia" w:hAnsiTheme="majorEastAsia" w:cs="宋体"/>
          <w:sz w:val="44"/>
          <w:szCs w:val="44"/>
        </w:rPr>
      </w:pPr>
    </w:p>
    <w:p w:rsidR="00CE4F64" w:rsidRPr="009D2BD0" w:rsidRDefault="00CE4F64" w:rsidP="00CE4F64">
      <w:pPr>
        <w:pStyle w:val="a7"/>
        <w:jc w:val="center"/>
        <w:rPr>
          <w:rFonts w:asciiTheme="majorEastAsia" w:eastAsiaTheme="majorEastAsia" w:hAnsiTheme="majorEastAsia" w:cs="宋体"/>
          <w:sz w:val="44"/>
          <w:szCs w:val="44"/>
        </w:rPr>
      </w:pPr>
      <w:r w:rsidRPr="009D2BD0">
        <w:rPr>
          <w:rFonts w:asciiTheme="majorEastAsia" w:eastAsiaTheme="majorEastAsia" w:hAnsiTheme="majorEastAsia" w:cs="宋体" w:hint="eastAsia"/>
          <w:sz w:val="44"/>
          <w:szCs w:val="44"/>
        </w:rPr>
        <w:t>天津市实施《实验动物管理条例》的办法</w:t>
      </w:r>
    </w:p>
    <w:p w:rsidR="00CE4F64" w:rsidRPr="002C19B4" w:rsidRDefault="00CE4F64" w:rsidP="002C19B4">
      <w:r w:rsidRPr="009D2BD0">
        <w:rPr>
          <w:rFonts w:ascii="楷体_GB2312" w:eastAsia="楷体_GB2312" w:hAnsi="仿宋" w:cs="宋体" w:hint="eastAsia"/>
          <w:sz w:val="32"/>
          <w:szCs w:val="32"/>
        </w:rPr>
        <w:t>（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1989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年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5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月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29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12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号发布  自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1989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年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6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月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日起施行  根据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1998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年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月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21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140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 xml:space="preserve">号《关于修改〈天津市实施实验动物管理条例的办法〉的决定》第一次修正  </w:t>
      </w:r>
      <w:r w:rsidR="002C19B4" w:rsidRPr="002C19B4">
        <w:rPr>
          <w:rFonts w:ascii="楷体_GB2312" w:eastAsia="楷体_GB2312" w:hAnsi="仿宋" w:cs="宋体"/>
          <w:sz w:val="32"/>
          <w:szCs w:val="32"/>
        </w:rPr>
        <w:t>根据2004年6月29日天津市人民政府令第30号</w:t>
      </w:r>
      <w:proofErr w:type="gramStart"/>
      <w:r w:rsidR="002C19B4" w:rsidRPr="002C19B4">
        <w:rPr>
          <w:rFonts w:ascii="楷体_GB2312" w:eastAsia="楷体_GB2312" w:hAnsi="仿宋" w:cs="宋体"/>
          <w:sz w:val="32"/>
          <w:szCs w:val="32"/>
        </w:rPr>
        <w:t>《</w:t>
      </w:r>
      <w:proofErr w:type="gramEnd"/>
      <w:r w:rsidR="002C19B4" w:rsidRPr="002C19B4">
        <w:rPr>
          <w:rFonts w:ascii="楷体_GB2312" w:eastAsia="楷体_GB2312" w:hAnsi="仿宋" w:cs="宋体"/>
          <w:sz w:val="32"/>
          <w:szCs w:val="32"/>
        </w:rPr>
        <w:t>关于修改〈天津市实施《实验动物管理条例》的办法〉的决定</w:t>
      </w:r>
      <w:proofErr w:type="gramStart"/>
      <w:r w:rsidR="002C19B4" w:rsidRPr="002C19B4">
        <w:rPr>
          <w:rFonts w:ascii="楷体_GB2312" w:eastAsia="楷体_GB2312" w:hAnsi="仿宋" w:cs="宋体"/>
          <w:sz w:val="32"/>
          <w:szCs w:val="32"/>
        </w:rPr>
        <w:t>》</w:t>
      </w:r>
      <w:proofErr w:type="gramEnd"/>
      <w:r w:rsidR="002C19B4" w:rsidRPr="002C19B4">
        <w:rPr>
          <w:rFonts w:ascii="楷体_GB2312" w:eastAsia="楷体_GB2312" w:hAnsi="仿宋" w:cs="宋体"/>
          <w:sz w:val="32"/>
          <w:szCs w:val="32"/>
        </w:rPr>
        <w:t>第二次修正</w:t>
      </w:r>
      <w:r w:rsidR="002C19B4">
        <w:rPr>
          <w:rFonts w:ascii="楷体_GB2312" w:eastAsia="楷体_GB2312" w:hAnsi="仿宋" w:cs="宋体" w:hint="eastAsia"/>
          <w:sz w:val="32"/>
          <w:szCs w:val="32"/>
        </w:rPr>
        <w:t xml:space="preserve">  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自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2004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年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7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月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日起施行  根据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2015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年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6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月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20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20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号《天津市人民政府关于修改部分规章的决定》第三次修正  根据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2018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年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1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月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9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日天津市人民政府令第</w:t>
      </w:r>
      <w:r w:rsidR="00506D3C" w:rsidRPr="009D2BD0">
        <w:rPr>
          <w:rFonts w:ascii="楷体_GB2312" w:eastAsia="楷体_GB2312" w:hAnsi="仿宋" w:cs="宋体"/>
          <w:sz w:val="32"/>
          <w:szCs w:val="32"/>
        </w:rPr>
        <w:t>29</w:t>
      </w:r>
      <w:r w:rsidRPr="009D2BD0">
        <w:rPr>
          <w:rFonts w:ascii="楷体_GB2312" w:eastAsia="楷体_GB2312" w:hAnsi="仿宋" w:cs="宋体" w:hint="eastAsia"/>
          <w:sz w:val="32"/>
          <w:szCs w:val="32"/>
        </w:rPr>
        <w:t>号《天津市人民政府关于修改和废止部分规章的决定》第四次修正）</w:t>
      </w:r>
      <w:bookmarkStart w:id="0" w:name="_GoBack"/>
      <w:bookmarkEnd w:id="0"/>
    </w:p>
    <w:p w:rsidR="00CE4F64" w:rsidRPr="00CE4F64" w:rsidRDefault="00CE4F64" w:rsidP="00CE4F64">
      <w:pPr>
        <w:pStyle w:val="a7"/>
        <w:rPr>
          <w:rFonts w:asciiTheme="majorEastAsia" w:eastAsiaTheme="majorEastAsia" w:hAnsiTheme="majorEastAsia" w:cs="宋体"/>
          <w:sz w:val="36"/>
          <w:szCs w:val="36"/>
        </w:rPr>
      </w:pPr>
      <w:r w:rsidRPr="009D2BD0"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CE4F64">
        <w:rPr>
          <w:rFonts w:asciiTheme="majorEastAsia" w:eastAsiaTheme="majorEastAsia" w:hAnsiTheme="majorEastAsia" w:cs="宋体" w:hint="eastAsia"/>
          <w:sz w:val="36"/>
          <w:szCs w:val="36"/>
        </w:rPr>
        <w:t xml:space="preserve">　</w:t>
      </w:r>
    </w:p>
    <w:p w:rsidR="00CE4F64" w:rsidRPr="00CE4F64" w:rsidRDefault="00CE4F64" w:rsidP="00CE4F64">
      <w:pPr>
        <w:pStyle w:val="a7"/>
        <w:ind w:firstLine="600"/>
        <w:rPr>
          <w:rFonts w:ascii="仿宋_GB2312" w:eastAsia="仿宋_GB2312" w:hAnsi="仿宋" w:cs="宋体"/>
          <w:sz w:val="32"/>
          <w:szCs w:val="32"/>
        </w:rPr>
      </w:pPr>
      <w:r w:rsidRPr="001167B9">
        <w:rPr>
          <w:rFonts w:ascii="黑体" w:eastAsia="黑体" w:hAnsi="黑体" w:cs="宋体" w:hint="eastAsia"/>
          <w:sz w:val="32"/>
          <w:szCs w:val="32"/>
        </w:rPr>
        <w:t>第一条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为加强实验动物的管理工作，保证实验动物质量，使试验研究、检测结果和安全评价科学可靠，根据《实验动物管理条例》及国家其他有关法律、法规，结合本市实际情况，制定本办法。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</w:t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第二条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本办法所称实验动物，是指经人工饲养、繁育，对</w:t>
      </w:r>
      <w:r w:rsidRPr="009D2BD0">
        <w:rPr>
          <w:rFonts w:ascii="仿宋_GB2312" w:eastAsia="仿宋_GB2312" w:hAnsi="仿宋" w:cs="宋体" w:hint="eastAsia"/>
          <w:sz w:val="32"/>
          <w:szCs w:val="32"/>
        </w:rPr>
        <w:lastRenderedPageBreak/>
        <w:t>其携带的微生物实行控制，遗传背景明确或来源清楚，用于科学研究、教学、医疗、生产和检定以及其他科学实验的动物。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</w:t>
      </w:r>
      <w:r w:rsidRPr="001167B9">
        <w:rPr>
          <w:rFonts w:ascii="黑体" w:eastAsia="黑体" w:hAnsi="黑体" w:cs="宋体" w:hint="eastAsia"/>
          <w:sz w:val="32"/>
          <w:szCs w:val="32"/>
        </w:rPr>
        <w:t>第三条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本办法适用于本市从事实验动物的研究、保种、饲育、供应、应用、管理和监督以及生产、经营实验动物所需的饲料、垫料、笼器具、设备等支撑条件的单位和个人。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</w:t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第四条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市科学技术委员会（以下简称市科委）主管本市实验动物工作，负责组织、监督本办法的具体实施和颁发本市实验动物合格证。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各区、县科委负责管理本地区的实验动物工作。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市有关部门负责管理本部门的实验动物工作。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</w:t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第五条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按照实验动物遗传学、微生物学、营养学和饲育环境等方面的国家标准，在本市实行实验动物的质量监督和质量合格认证制度。具体办法由市科委根据国家有关规定制定。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</w:t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 第六条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从事实验动物饲育工作的单位，必须根据国家有关标准，定期对实验动物进行质量自检。各项作业过程和监测数据应有完整、准确的记录。并依隶属关系按系统分别向市、区（县）科委报告。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天津实验动物中心负责每两年进行一次全面质量检测，其结果作为质量合格认证的根据。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</w:r>
      <w:r w:rsidRPr="009D2BD0">
        <w:rPr>
          <w:rFonts w:ascii="仿宋_GB2312" w:eastAsia="仿宋_GB2312" w:hAnsi="仿宋" w:cs="宋体" w:hint="eastAsia"/>
          <w:sz w:val="32"/>
          <w:szCs w:val="32"/>
        </w:rPr>
        <w:lastRenderedPageBreak/>
        <w:t xml:space="preserve">   </w:t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第七条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实验动物所需饲料、饮水及垫料，应当按照不同等级实验动物的需要，进行相应处理，必须达到有关的营养和卫生标准。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</w:t>
      </w:r>
      <w:r w:rsidRPr="001167B9">
        <w:rPr>
          <w:rFonts w:ascii="黑体" w:eastAsia="黑体" w:hAnsi="黑体" w:cs="宋体" w:hint="eastAsia"/>
          <w:sz w:val="32"/>
          <w:szCs w:val="32"/>
        </w:rPr>
        <w:t>第八条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对引入的实验动物，必须进行隔离检疫，隔离</w:t>
      </w:r>
      <w:proofErr w:type="gramStart"/>
      <w:r w:rsidRPr="009D2BD0">
        <w:rPr>
          <w:rFonts w:ascii="仿宋_GB2312" w:eastAsia="仿宋_GB2312" w:hAnsi="仿宋" w:cs="宋体" w:hint="eastAsia"/>
          <w:sz w:val="32"/>
          <w:szCs w:val="32"/>
        </w:rPr>
        <w:t>检疫期依品种</w:t>
      </w:r>
      <w:proofErr w:type="gramEnd"/>
      <w:r w:rsidRPr="009D2BD0">
        <w:rPr>
          <w:rFonts w:ascii="仿宋_GB2312" w:eastAsia="仿宋_GB2312" w:hAnsi="仿宋" w:cs="宋体" w:hint="eastAsia"/>
          <w:sz w:val="32"/>
          <w:szCs w:val="32"/>
        </w:rPr>
        <w:t>、级别由市科委确定。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为补充种源或开发新品种而捕捉的野生动物，必须在当地进行隔离检疫，并取得县以上畜禽防疫机构出具的检疫证明。野生动物运抵实验动物处所，需经再次隔离检疫，方可进入实验动物饲育室。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对引入的原种和捕捉的野生动物以及开发的新品种，应及时将动物的名称、特征、数量与照片等资料，报市科委备案。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</w:t>
      </w:r>
      <w:r w:rsidRPr="001167B9">
        <w:rPr>
          <w:rFonts w:ascii="黑体" w:eastAsia="黑体" w:hAnsi="黑体" w:cs="宋体" w:hint="eastAsia"/>
          <w:sz w:val="32"/>
          <w:szCs w:val="32"/>
        </w:rPr>
        <w:t>第九条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对必须进行预防接种的实验动物，应当根据实验要求或者按照《中华人民共和国动物防疫法》及本市其他有关规定进行预防接种。用作生物制品原料的实验动物除外。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</w:t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第十条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严禁使用遗传背景不清的实验动物进行科学研究和质量检定工作。申报科研课题和鉴定科研成果，应当把应用合格实验动物作为基本条件。应用不合格实验动物取得的检定或者安全评价结果无效，所生产的制品不得使用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   第十一条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用于人和动物传染病实验的实验动物，在接毒后</w:t>
      </w:r>
      <w:r w:rsidRPr="009D2BD0">
        <w:rPr>
          <w:rFonts w:ascii="仿宋_GB2312" w:eastAsia="仿宋_GB2312" w:hAnsi="仿宋" w:cs="宋体" w:hint="eastAsia"/>
          <w:sz w:val="32"/>
          <w:szCs w:val="32"/>
        </w:rPr>
        <w:lastRenderedPageBreak/>
        <w:t>的整个过程中，必须隔离管理，严防逃失或其他任何形式的散毒。此类实验动物死亡后的尸体，及其所接触的用品、用具、环境、场所均须进行严格的消毒和无害化处理。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</w:t>
      </w:r>
      <w:r w:rsidRPr="001167B9">
        <w:rPr>
          <w:rFonts w:ascii="黑体" w:eastAsia="黑体" w:hAnsi="黑体" w:cs="宋体" w:hint="eastAsia"/>
          <w:sz w:val="32"/>
          <w:szCs w:val="32"/>
        </w:rPr>
        <w:t>第十二条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出口应用国家重点保护的野生动物物种开发的实验动物，必须按照国家的有关规定，取得出口许可证后，方可办理出口手续。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</w:t>
      </w:r>
      <w:r w:rsidRPr="001167B9">
        <w:rPr>
          <w:rFonts w:ascii="黑体" w:eastAsia="黑体" w:hAnsi="黑体" w:cs="宋体" w:hint="eastAsia"/>
          <w:sz w:val="32"/>
          <w:szCs w:val="32"/>
        </w:rPr>
        <w:t>第十三条</w:t>
      </w:r>
      <w:r>
        <w:rPr>
          <w:rFonts w:ascii="黑体" w:eastAsia="黑体" w:hAnsi="黑体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进、出口实验动物的检疫工作，按照《中华人民共和国进出境动植物检疫法》及本市的有关规定办理。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</w:t>
      </w:r>
      <w:r w:rsidRPr="001167B9">
        <w:rPr>
          <w:rFonts w:ascii="黑体" w:eastAsia="黑体" w:hAnsi="黑体" w:cs="宋体" w:hint="eastAsia"/>
          <w:sz w:val="32"/>
          <w:szCs w:val="32"/>
        </w:rPr>
        <w:t>第十四条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从事实验动物工作的人员，应当依法享受必要的劳动保护和福利待遇。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 实验动物工作单位对直接接触实验动物的工作人员，每年至少进行一次体格检查。对患有传染性疾病、不宜承担所做工作的人员，应当及时调换工作。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</w:t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第十五条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对违反本办法规定的单位，由管理实验动物工作的部门视情节轻重，分别给予警告、限期改进、责令关闭的行政处罚；对违反本办法规定的有关工作人员，由其所在单位依法给予处分。</w:t>
      </w:r>
      <w:r w:rsidRPr="009D2BD0">
        <w:rPr>
          <w:rFonts w:ascii="仿宋_GB2312" w:eastAsia="仿宋_GB2312" w:hAnsi="仿宋" w:cs="宋体" w:hint="eastAsia"/>
          <w:sz w:val="32"/>
          <w:szCs w:val="32"/>
        </w:rPr>
        <w:br/>
        <w:t xml:space="preserve">   </w:t>
      </w:r>
      <w:r w:rsidRPr="001167B9">
        <w:rPr>
          <w:rFonts w:ascii="黑体" w:eastAsia="黑体" w:hAnsi="黑体" w:cs="宋体" w:hint="eastAsia"/>
          <w:sz w:val="32"/>
          <w:szCs w:val="32"/>
        </w:rPr>
        <w:t xml:space="preserve"> 第十六条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　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本办法自</w:t>
      </w:r>
      <w:r w:rsidR="00506D3C" w:rsidRPr="009D2BD0">
        <w:rPr>
          <w:rFonts w:ascii="仿宋_GB2312" w:eastAsia="仿宋_GB2312" w:hAnsi="仿宋" w:cs="宋体"/>
          <w:sz w:val="32"/>
          <w:szCs w:val="32"/>
        </w:rPr>
        <w:t>2004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年</w:t>
      </w:r>
      <w:r w:rsidR="00506D3C" w:rsidRPr="009D2BD0">
        <w:rPr>
          <w:rFonts w:ascii="仿宋_GB2312" w:eastAsia="仿宋_GB2312" w:hAnsi="仿宋" w:cs="宋体"/>
          <w:sz w:val="32"/>
          <w:szCs w:val="32"/>
        </w:rPr>
        <w:t>7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>月</w:t>
      </w:r>
      <w:r w:rsidR="00506D3C" w:rsidRPr="009D2BD0">
        <w:rPr>
          <w:rFonts w:ascii="仿宋_GB2312" w:eastAsia="仿宋_GB2312" w:hAnsi="仿宋" w:cs="宋体"/>
          <w:sz w:val="32"/>
          <w:szCs w:val="32"/>
        </w:rPr>
        <w:t>1</w:t>
      </w:r>
      <w:r w:rsidRPr="009D2BD0">
        <w:rPr>
          <w:rFonts w:ascii="仿宋_GB2312" w:eastAsia="仿宋_GB2312" w:hAnsi="仿宋" w:cs="宋体" w:hint="eastAsia"/>
          <w:sz w:val="32"/>
          <w:szCs w:val="32"/>
        </w:rPr>
        <w:t xml:space="preserve">日起施行。   </w:t>
      </w:r>
    </w:p>
    <w:sectPr w:rsidR="00CE4F64" w:rsidRPr="00CE4F64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76" w:rsidRDefault="002C2F76">
      <w:r>
        <w:separator/>
      </w:r>
    </w:p>
  </w:endnote>
  <w:endnote w:type="continuationSeparator" w:id="0">
    <w:p w:rsidR="002C2F76" w:rsidRDefault="002C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7D" w:rsidRDefault="0023236F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3B7D" w:rsidRDefault="0023236F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19B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93B7D" w:rsidRDefault="0023236F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C19B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A93B7D" w:rsidRDefault="0023236F">
    <w:pPr>
      <w:pStyle w:val="a5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天津市人民政府发布     </w:t>
    </w:r>
  </w:p>
  <w:p w:rsidR="00A93B7D" w:rsidRDefault="00A93B7D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76" w:rsidRDefault="002C2F76">
      <w:r>
        <w:separator/>
      </w:r>
    </w:p>
  </w:footnote>
  <w:footnote w:type="continuationSeparator" w:id="0">
    <w:p w:rsidR="002C2F76" w:rsidRDefault="002C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7D" w:rsidRDefault="0023236F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A93B7D" w:rsidRDefault="0023236F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天津市人民政府规章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236F"/>
    <w:rsid w:val="002C19B4"/>
    <w:rsid w:val="002C2F76"/>
    <w:rsid w:val="00506D3C"/>
    <w:rsid w:val="00A93B7D"/>
    <w:rsid w:val="00CE4F64"/>
    <w:rsid w:val="00F111E6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0550879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5903BD0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CE4F64"/>
    <w:rPr>
      <w:sz w:val="18"/>
      <w:szCs w:val="18"/>
    </w:rPr>
  </w:style>
  <w:style w:type="character" w:customStyle="1" w:styleId="Char">
    <w:name w:val="批注框文本 Char"/>
    <w:basedOn w:val="a0"/>
    <w:link w:val="a6"/>
    <w:rsid w:val="00CE4F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CE4F64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CE4F64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link w:val="Char"/>
    <w:rsid w:val="00CE4F64"/>
    <w:rPr>
      <w:sz w:val="18"/>
      <w:szCs w:val="18"/>
    </w:rPr>
  </w:style>
  <w:style w:type="character" w:customStyle="1" w:styleId="Char">
    <w:name w:val="批注框文本 Char"/>
    <w:basedOn w:val="a0"/>
    <w:link w:val="a6"/>
    <w:rsid w:val="00CE4F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Plain Text"/>
    <w:basedOn w:val="a"/>
    <w:link w:val="Char0"/>
    <w:uiPriority w:val="99"/>
    <w:unhideWhenUsed/>
    <w:rsid w:val="00CE4F64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7"/>
    <w:uiPriority w:val="99"/>
    <w:rsid w:val="00CE4F6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USERLI</cp:lastModifiedBy>
  <cp:revision>4</cp:revision>
  <cp:lastPrinted>2021-10-26T03:30:00Z</cp:lastPrinted>
  <dcterms:created xsi:type="dcterms:W3CDTF">2021-11-19T09:19:00Z</dcterms:created>
  <dcterms:modified xsi:type="dcterms:W3CDTF">2021-12-21T01:55:00Z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7347B2E4E5CC43A5BD5557C387431781</vt:lpwstr>
  </property>
</Properties>
</file>