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5E" w:rsidRPr="0070665B" w:rsidRDefault="00552B5E" w:rsidP="00552B5E">
      <w:pPr>
        <w:rPr>
          <w:rFonts w:ascii="方正小标宋简体" w:eastAsia="方正小标宋简体" w:hint="eastAsia"/>
          <w:sz w:val="72"/>
          <w:szCs w:val="72"/>
        </w:rPr>
      </w:pPr>
    </w:p>
    <w:p w:rsidR="00552B5E" w:rsidRDefault="00552B5E" w:rsidP="00552B5E">
      <w:pPr>
        <w:widowControl/>
        <w:shd w:val="clear" w:color="auto" w:fill="FFFFFF"/>
        <w:spacing w:line="560" w:lineRule="exact"/>
        <w:jc w:val="center"/>
        <w:rPr>
          <w:rFonts w:ascii="方正小标宋简体" w:eastAsia="方正小标宋简体" w:hAnsi="宋体" w:cs="宋体" w:hint="eastAsia"/>
          <w:bCs/>
          <w:kern w:val="0"/>
          <w:sz w:val="44"/>
          <w:szCs w:val="44"/>
        </w:rPr>
      </w:pPr>
      <w:r w:rsidRPr="0006564A">
        <w:rPr>
          <w:rFonts w:ascii="方正小标宋简体" w:eastAsia="方正小标宋简体" w:hAnsi="宋体" w:cs="宋体" w:hint="eastAsia"/>
          <w:bCs/>
          <w:kern w:val="0"/>
          <w:sz w:val="44"/>
          <w:szCs w:val="44"/>
        </w:rPr>
        <w:t>天津市司法局2019年</w:t>
      </w:r>
    </w:p>
    <w:p w:rsidR="00552B5E" w:rsidRPr="0006564A" w:rsidRDefault="00552B5E" w:rsidP="00552B5E">
      <w:pPr>
        <w:widowControl/>
        <w:shd w:val="clear" w:color="auto" w:fill="FFFFFF"/>
        <w:spacing w:line="560" w:lineRule="exact"/>
        <w:jc w:val="center"/>
        <w:rPr>
          <w:rFonts w:ascii="方正小标宋简体" w:eastAsia="方正小标宋简体" w:hAnsi="宋体" w:cs="宋体" w:hint="eastAsia"/>
          <w:kern w:val="0"/>
          <w:sz w:val="44"/>
          <w:szCs w:val="44"/>
        </w:rPr>
      </w:pPr>
      <w:r w:rsidRPr="0006564A">
        <w:rPr>
          <w:rFonts w:ascii="方正小标宋简体" w:eastAsia="方正小标宋简体" w:hAnsi="宋体" w:cs="宋体" w:hint="eastAsia"/>
          <w:bCs/>
          <w:kern w:val="0"/>
          <w:sz w:val="44"/>
          <w:szCs w:val="44"/>
        </w:rPr>
        <w:t>政府信息公开工作年度报告</w:t>
      </w:r>
    </w:p>
    <w:p w:rsidR="00552B5E" w:rsidRDefault="00552B5E" w:rsidP="00552B5E">
      <w:pPr>
        <w:widowControl/>
        <w:shd w:val="clear" w:color="auto" w:fill="FFFFFF"/>
        <w:ind w:firstLine="480"/>
        <w:rPr>
          <w:rFonts w:ascii="宋体" w:hAnsi="宋体" w:cs="宋体" w:hint="eastAsia"/>
          <w:color w:val="333333"/>
          <w:kern w:val="0"/>
          <w:sz w:val="24"/>
        </w:rPr>
      </w:pPr>
    </w:p>
    <w:p w:rsidR="00552B5E" w:rsidRPr="005B4646" w:rsidRDefault="00552B5E" w:rsidP="00552B5E">
      <w:pPr>
        <w:spacing w:line="560" w:lineRule="exact"/>
        <w:ind w:firstLineChars="200" w:firstLine="632"/>
        <w:rPr>
          <w:rFonts w:eastAsia="仿宋_GB2312"/>
        </w:rPr>
      </w:pPr>
      <w:r w:rsidRPr="005B4646">
        <w:rPr>
          <w:rFonts w:eastAsia="仿宋_GB2312"/>
        </w:rPr>
        <w:t>本年度报告根据《中华人民共和国政府信息公开条例》（国务院令第</w:t>
      </w:r>
      <w:r w:rsidRPr="005B4646">
        <w:rPr>
          <w:rFonts w:eastAsia="仿宋_GB2312"/>
        </w:rPr>
        <w:t>711</w:t>
      </w:r>
      <w:r w:rsidRPr="005B4646">
        <w:rPr>
          <w:rFonts w:eastAsia="仿宋_GB2312"/>
        </w:rPr>
        <w:t>号）和《国务院办公厅政府信息与政务公开办公室关于政府信息公开工作年度报告有关事项的通知》（国办公开办函〔</w:t>
      </w:r>
      <w:r w:rsidRPr="005B4646">
        <w:rPr>
          <w:rFonts w:eastAsia="仿宋_GB2312"/>
        </w:rPr>
        <w:t>2019</w:t>
      </w:r>
      <w:r w:rsidRPr="005B4646">
        <w:rPr>
          <w:rFonts w:eastAsia="仿宋_GB2312"/>
        </w:rPr>
        <w:t>〕</w:t>
      </w:r>
      <w:r w:rsidRPr="005B4646">
        <w:rPr>
          <w:rFonts w:eastAsia="仿宋_GB2312"/>
        </w:rPr>
        <w:t>60</w:t>
      </w:r>
      <w:r w:rsidRPr="005B4646">
        <w:rPr>
          <w:rFonts w:eastAsia="仿宋_GB2312"/>
        </w:rPr>
        <w:t>号）有关规定，由天津市司法局编制。全文包括：总体情况，主动公开政府信息情况，收到和处理政府信息公开申请情况，政府信息公开行政复议、行政诉讼情况，存在的主要问题及改进情况，其他需要报告的事项等六部分组成。本年度报告统计范围包括市监狱局和市戒毒局，所列数据的统计期限自</w:t>
      </w:r>
      <w:r w:rsidRPr="005B4646">
        <w:rPr>
          <w:rFonts w:eastAsia="仿宋_GB2312"/>
        </w:rPr>
        <w:t>2019</w:t>
      </w:r>
      <w:r w:rsidRPr="005B4646">
        <w:rPr>
          <w:rFonts w:eastAsia="仿宋_GB2312"/>
        </w:rPr>
        <w:t>年</w:t>
      </w:r>
      <w:r w:rsidRPr="005B4646">
        <w:rPr>
          <w:rFonts w:eastAsia="仿宋_GB2312"/>
        </w:rPr>
        <w:t>1</w:t>
      </w:r>
      <w:r w:rsidRPr="005B4646">
        <w:rPr>
          <w:rFonts w:eastAsia="仿宋_GB2312"/>
        </w:rPr>
        <w:t>月</w:t>
      </w:r>
      <w:r w:rsidRPr="005B4646">
        <w:rPr>
          <w:rFonts w:eastAsia="仿宋_GB2312"/>
        </w:rPr>
        <w:t>1</w:t>
      </w:r>
      <w:r w:rsidRPr="005B4646">
        <w:rPr>
          <w:rFonts w:eastAsia="仿宋_GB2312"/>
        </w:rPr>
        <w:t>日起至</w:t>
      </w:r>
      <w:r w:rsidRPr="005B4646">
        <w:rPr>
          <w:rFonts w:eastAsia="仿宋_GB2312"/>
        </w:rPr>
        <w:t>2019</w:t>
      </w:r>
      <w:r w:rsidRPr="005B4646">
        <w:rPr>
          <w:rFonts w:eastAsia="仿宋_GB2312"/>
        </w:rPr>
        <w:t>年</w:t>
      </w:r>
      <w:r w:rsidRPr="005B4646">
        <w:rPr>
          <w:rFonts w:eastAsia="仿宋_GB2312"/>
        </w:rPr>
        <w:t>12</w:t>
      </w:r>
      <w:r w:rsidRPr="005B4646">
        <w:rPr>
          <w:rFonts w:eastAsia="仿宋_GB2312"/>
        </w:rPr>
        <w:t>月</w:t>
      </w:r>
      <w:r w:rsidRPr="005B4646">
        <w:rPr>
          <w:rFonts w:eastAsia="仿宋_GB2312"/>
        </w:rPr>
        <w:t>31</w:t>
      </w:r>
      <w:r w:rsidRPr="005B4646">
        <w:rPr>
          <w:rFonts w:eastAsia="仿宋_GB2312"/>
        </w:rPr>
        <w:t>日止。</w:t>
      </w:r>
    </w:p>
    <w:p w:rsidR="00552B5E" w:rsidRPr="005B4646" w:rsidRDefault="00552B5E" w:rsidP="00552B5E">
      <w:pPr>
        <w:spacing w:line="560" w:lineRule="exact"/>
        <w:ind w:firstLineChars="200" w:firstLine="632"/>
        <w:rPr>
          <w:rFonts w:ascii="黑体" w:eastAsia="黑体" w:hAnsi="黑体" w:hint="eastAsia"/>
        </w:rPr>
      </w:pPr>
      <w:r w:rsidRPr="005B4646">
        <w:rPr>
          <w:rFonts w:ascii="黑体" w:eastAsia="黑体" w:hAnsi="黑体" w:hint="eastAsia"/>
        </w:rPr>
        <w:t>一、总体情况</w:t>
      </w:r>
    </w:p>
    <w:p w:rsidR="00552B5E" w:rsidRDefault="00552B5E" w:rsidP="00552B5E">
      <w:pPr>
        <w:spacing w:line="560" w:lineRule="exact"/>
        <w:ind w:firstLineChars="200" w:firstLine="632"/>
        <w:rPr>
          <w:rFonts w:eastAsia="仿宋_GB2312" w:hint="eastAsia"/>
        </w:rPr>
      </w:pPr>
      <w:r w:rsidRPr="00137FD7">
        <w:rPr>
          <w:rFonts w:eastAsia="仿宋_GB2312"/>
        </w:rPr>
        <w:t>2019</w:t>
      </w:r>
      <w:r w:rsidRPr="00137FD7">
        <w:rPr>
          <w:rFonts w:eastAsia="仿宋_GB2312"/>
        </w:rPr>
        <w:t>年，市司法局认真贯彻执行新修订的《中华人民共和国政府信息公开条例》，针对《条例》修订内容做好宣传贯彻和相关培训工作。按照领导及人员岗位变动，及时调整更新政府信息公开领导小组及组成人员。重新修订了政府信息公开指南和依申请政府信息公开工作办理流程，进一步规范了政府信息公开申请登记、审核、办理、答复、归档的工作制度。在符合保密要求的前提下，依法公开</w:t>
      </w:r>
      <w:r w:rsidRPr="00137FD7">
        <w:rPr>
          <w:rFonts w:eastAsia="仿宋_GB2312"/>
        </w:rPr>
        <w:t>“</w:t>
      </w:r>
      <w:r w:rsidRPr="00137FD7">
        <w:rPr>
          <w:rFonts w:eastAsia="仿宋_GB2312"/>
        </w:rPr>
        <w:t>三定</w:t>
      </w:r>
      <w:r w:rsidRPr="00137FD7">
        <w:rPr>
          <w:rFonts w:eastAsia="仿宋_GB2312"/>
        </w:rPr>
        <w:t>”</w:t>
      </w:r>
      <w:r w:rsidRPr="00137FD7">
        <w:rPr>
          <w:rFonts w:eastAsia="仿宋_GB2312"/>
        </w:rPr>
        <w:t>规定等信息；对于机关职能、机构设置、</w:t>
      </w:r>
      <w:r w:rsidRPr="00137FD7">
        <w:rPr>
          <w:rFonts w:eastAsia="仿宋_GB2312"/>
        </w:rPr>
        <w:lastRenderedPageBreak/>
        <w:t>办公地址、办公时间、联系方式和负责人信息</w:t>
      </w:r>
      <w:r>
        <w:rPr>
          <w:rFonts w:eastAsia="仿宋_GB2312" w:hint="eastAsia"/>
        </w:rPr>
        <w:t>及时调整</w:t>
      </w:r>
      <w:r w:rsidRPr="00137FD7">
        <w:rPr>
          <w:rFonts w:eastAsia="仿宋_GB2312"/>
        </w:rPr>
        <w:t>。按照市财政局的要求，在本单位门户网站和天津</w:t>
      </w:r>
      <w:proofErr w:type="gramStart"/>
      <w:r w:rsidRPr="00137FD7">
        <w:rPr>
          <w:rFonts w:eastAsia="仿宋_GB2312"/>
        </w:rPr>
        <w:t>政务网政府</w:t>
      </w:r>
      <w:proofErr w:type="gramEnd"/>
      <w:r w:rsidRPr="00137FD7">
        <w:rPr>
          <w:rFonts w:eastAsia="仿宋_GB2312"/>
        </w:rPr>
        <w:t>信息公开专栏按时公开年度财政预、决算信息。</w:t>
      </w:r>
      <w:r w:rsidRPr="00137FD7">
        <w:rPr>
          <w:rFonts w:eastAsia="仿宋_GB2312"/>
        </w:rPr>
        <w:t>2019</w:t>
      </w:r>
      <w:r w:rsidRPr="00137FD7">
        <w:rPr>
          <w:rFonts w:eastAsia="仿宋_GB2312"/>
        </w:rPr>
        <w:t>年市司法局共招录</w:t>
      </w:r>
      <w:r w:rsidRPr="00137FD7">
        <w:rPr>
          <w:rFonts w:eastAsia="仿宋_GB2312"/>
        </w:rPr>
        <w:t>25</w:t>
      </w:r>
      <w:r w:rsidRPr="00137FD7">
        <w:rPr>
          <w:rFonts w:eastAsia="仿宋_GB2312"/>
        </w:rPr>
        <w:t>名公务员（其中一人因怀孕暂缓录用），相关招考的职位、名额、报考条件等事项以及录用结果等信息已由市委组织部统一在天津市人事考试网公示，相关考试结果等信息及时在市司法局公示栏进行公示。</w:t>
      </w:r>
    </w:p>
    <w:p w:rsidR="00552B5E" w:rsidRPr="00137FD7" w:rsidRDefault="00552B5E" w:rsidP="00552B5E">
      <w:pPr>
        <w:spacing w:line="560" w:lineRule="exact"/>
        <w:ind w:firstLineChars="200" w:firstLine="632"/>
        <w:rPr>
          <w:rFonts w:eastAsia="仿宋_GB2312"/>
        </w:rPr>
      </w:pPr>
      <w:r w:rsidRPr="00137FD7">
        <w:rPr>
          <w:rFonts w:eastAsia="仿宋_GB2312"/>
        </w:rPr>
        <w:t>2019</w:t>
      </w:r>
      <w:r w:rsidRPr="00137FD7">
        <w:rPr>
          <w:rFonts w:eastAsia="仿宋_GB2312"/>
        </w:rPr>
        <w:t>年，市司法局主动公开行政许可文件</w:t>
      </w:r>
      <w:r>
        <w:rPr>
          <w:rFonts w:eastAsia="仿宋_GB2312" w:hint="eastAsia"/>
        </w:rPr>
        <w:t>944</w:t>
      </w:r>
      <w:r w:rsidRPr="00137FD7">
        <w:rPr>
          <w:rFonts w:eastAsia="仿宋_GB2312"/>
        </w:rPr>
        <w:t>件，行政处罚文件</w:t>
      </w:r>
      <w:r w:rsidRPr="00137FD7">
        <w:rPr>
          <w:rFonts w:eastAsia="仿宋_GB2312"/>
        </w:rPr>
        <w:t>7</w:t>
      </w:r>
      <w:r w:rsidRPr="00137FD7">
        <w:rPr>
          <w:rFonts w:eastAsia="仿宋_GB2312"/>
        </w:rPr>
        <w:t>件，建议提案答复</w:t>
      </w:r>
      <w:r w:rsidRPr="00137FD7">
        <w:rPr>
          <w:rFonts w:eastAsia="仿宋_GB2312"/>
        </w:rPr>
        <w:t>21</w:t>
      </w:r>
      <w:r w:rsidRPr="00137FD7">
        <w:rPr>
          <w:rFonts w:eastAsia="仿宋_GB2312"/>
        </w:rPr>
        <w:t>件，相关政策文件</w:t>
      </w:r>
      <w:r>
        <w:rPr>
          <w:rFonts w:eastAsia="仿宋_GB2312" w:hint="eastAsia"/>
        </w:rPr>
        <w:t>7</w:t>
      </w:r>
      <w:r w:rsidRPr="00137FD7">
        <w:rPr>
          <w:rFonts w:eastAsia="仿宋_GB2312"/>
        </w:rPr>
        <w:t>件，并按时做好向政务服务中心、档案馆、图书馆的报送工作，充分保障了人民群众的知情权。办理依申请政府信息公开工作</w:t>
      </w:r>
      <w:r>
        <w:rPr>
          <w:rFonts w:eastAsia="仿宋_GB2312" w:hint="eastAsia"/>
        </w:rPr>
        <w:t>66</w:t>
      </w:r>
      <w:r w:rsidRPr="00137FD7">
        <w:rPr>
          <w:rFonts w:eastAsia="仿宋_GB2312"/>
        </w:rPr>
        <w:t>件，依法保障公民、法人和其他组织获取政府信息的权利，切实做到了</w:t>
      </w:r>
      <w:r w:rsidRPr="00137FD7">
        <w:rPr>
          <w:rFonts w:eastAsia="仿宋_GB2312"/>
        </w:rPr>
        <w:t>“</w:t>
      </w:r>
      <w:r w:rsidRPr="00137FD7">
        <w:rPr>
          <w:rFonts w:eastAsia="仿宋_GB2312"/>
        </w:rPr>
        <w:t>以公开为常态，以不公开为例外</w:t>
      </w:r>
      <w:r w:rsidRPr="00137FD7">
        <w:rPr>
          <w:rFonts w:eastAsia="仿宋_GB2312"/>
        </w:rPr>
        <w:t>”</w:t>
      </w:r>
      <w:r w:rsidRPr="00137FD7">
        <w:rPr>
          <w:rFonts w:eastAsia="仿宋_GB2312"/>
        </w:rPr>
        <w:t>。</w:t>
      </w:r>
    </w:p>
    <w:p w:rsidR="00552B5E" w:rsidRPr="003257D6" w:rsidRDefault="00552B5E" w:rsidP="00552B5E">
      <w:pPr>
        <w:widowControl/>
        <w:shd w:val="clear" w:color="auto" w:fill="FFFFFF"/>
        <w:spacing w:after="240"/>
        <w:ind w:firstLine="480"/>
        <w:rPr>
          <w:rFonts w:ascii="黑体" w:eastAsia="黑体" w:hAnsi="宋体" w:cs="宋体"/>
          <w:bCs/>
          <w:kern w:val="0"/>
        </w:rPr>
      </w:pPr>
      <w:r w:rsidRPr="003257D6">
        <w:rPr>
          <w:rFonts w:ascii="黑体" w:eastAsia="黑体" w:hAnsi="宋体" w:cs="宋体" w:hint="eastAsia"/>
          <w:bCs/>
          <w:kern w:val="0"/>
        </w:rPr>
        <w:t>二、主动公开政府信息情况</w:t>
      </w:r>
    </w:p>
    <w:tbl>
      <w:tblPr>
        <w:tblW w:w="8140" w:type="dxa"/>
        <w:jc w:val="center"/>
        <w:tblCellMar>
          <w:left w:w="0" w:type="dxa"/>
          <w:right w:w="0" w:type="dxa"/>
        </w:tblCellMar>
        <w:tblLook w:val="04A0" w:firstRow="1" w:lastRow="0" w:firstColumn="1" w:lastColumn="0" w:noHBand="0" w:noVBand="1"/>
      </w:tblPr>
      <w:tblGrid>
        <w:gridCol w:w="3113"/>
        <w:gridCol w:w="1875"/>
        <w:gridCol w:w="6"/>
        <w:gridCol w:w="1265"/>
        <w:gridCol w:w="1881"/>
      </w:tblGrid>
      <w:tr w:rsidR="00552B5E" w:rsidRPr="002F4623" w:rsidTr="003055AB">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第二十条第（一）项</w:t>
            </w:r>
          </w:p>
        </w:tc>
      </w:tr>
      <w:tr w:rsidR="00552B5E" w:rsidRPr="002F4623" w:rsidTr="003055AB">
        <w:trPr>
          <w:trHeight w:val="882"/>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本年新</w:t>
            </w:r>
            <w:r w:rsidRPr="002F4623">
              <w:rPr>
                <w:rFonts w:ascii="宋体" w:hAnsi="宋体" w:cs="宋体" w:hint="eastAsia"/>
                <w:color w:val="000000"/>
                <w:kern w:val="0"/>
                <w:sz w:val="20"/>
                <w:szCs w:val="20"/>
              </w:rPr>
              <w:br/>
            </w:r>
            <w:r w:rsidRPr="002F4623">
              <w:rPr>
                <w:rFonts w:ascii="宋体" w:hAnsi="宋体" w:cs="宋体"/>
                <w:kern w:val="0"/>
                <w:sz w:val="20"/>
                <w:szCs w:val="20"/>
              </w:rPr>
              <w:t>制作数量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本年新</w:t>
            </w:r>
            <w:r w:rsidRPr="002F4623">
              <w:rPr>
                <w:rFonts w:ascii="宋体" w:hAnsi="宋体" w:cs="宋体" w:hint="eastAsia"/>
                <w:color w:val="000000"/>
                <w:kern w:val="0"/>
                <w:sz w:val="20"/>
                <w:szCs w:val="20"/>
              </w:rPr>
              <w:br/>
            </w:r>
            <w:r w:rsidRPr="002F4623">
              <w:rPr>
                <w:rFonts w:ascii="宋体" w:hAnsi="宋体" w:cs="宋体"/>
                <w:kern w:val="0"/>
                <w:sz w:val="20"/>
                <w:szCs w:val="20"/>
              </w:rPr>
              <w:t>公开数量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对外公开总数量</w:t>
            </w:r>
          </w:p>
        </w:tc>
      </w:tr>
      <w:tr w:rsidR="00552B5E" w:rsidRPr="002F4623" w:rsidTr="003055AB">
        <w:trPr>
          <w:trHeight w:val="523"/>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规章</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2F4623" w:rsidRDefault="00552B5E" w:rsidP="003055AB">
            <w:pPr>
              <w:widowControl/>
              <w:ind w:firstLineChars="100" w:firstLine="196"/>
              <w:jc w:val="left"/>
              <w:rPr>
                <w:rFonts w:ascii="宋体" w:hAnsi="宋体" w:cs="宋体"/>
                <w:kern w:val="0"/>
                <w:sz w:val="24"/>
              </w:rPr>
            </w:pPr>
            <w:r>
              <w:rPr>
                <w:rFonts w:ascii="宋体" w:hAnsi="宋体" w:cs="宋体" w:hint="eastAsia"/>
                <w:color w:val="000000"/>
                <w:kern w:val="0"/>
                <w:sz w:val="20"/>
                <w:szCs w:val="20"/>
              </w:rPr>
              <w:t>0</w:t>
            </w:r>
            <w:r w:rsidRPr="002F4623">
              <w:rPr>
                <w:rFonts w:ascii="宋体" w:hAnsi="宋体" w:cs="宋体" w:hint="eastAsia"/>
                <w:color w:val="000000"/>
                <w:kern w:val="0"/>
                <w:sz w:val="20"/>
                <w:szCs w:val="20"/>
              </w:rPr>
              <w:t> </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ind w:firstLineChars="100" w:firstLine="196"/>
              <w:jc w:val="left"/>
              <w:rPr>
                <w:rFonts w:ascii="宋体" w:hAnsi="宋体" w:cs="宋体"/>
                <w:kern w:val="0"/>
                <w:sz w:val="24"/>
              </w:rPr>
            </w:pPr>
            <w:r>
              <w:rPr>
                <w:rFonts w:ascii="宋体" w:hAnsi="宋体" w:cs="宋体" w:hint="eastAsia"/>
                <w:color w:val="000000"/>
                <w:kern w:val="0"/>
                <w:sz w:val="20"/>
                <w:szCs w:val="20"/>
              </w:rPr>
              <w:t>0</w:t>
            </w:r>
            <w:r w:rsidRPr="002F4623">
              <w:rPr>
                <w:rFonts w:ascii="宋体" w:hAnsi="宋体" w:cs="宋体" w:hint="eastAsia"/>
                <w:color w:val="000000"/>
                <w:kern w:val="0"/>
                <w:sz w:val="20"/>
                <w:szCs w:val="20"/>
              </w:rPr>
              <w:t xml:space="preserve">　</w:t>
            </w:r>
          </w:p>
        </w:tc>
      </w:tr>
      <w:tr w:rsidR="00552B5E" w:rsidRPr="002F4623" w:rsidTr="003055AB">
        <w:trPr>
          <w:trHeight w:val="47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规范性文件</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7</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w:t>
            </w:r>
            <w:r>
              <w:rPr>
                <w:rFonts w:ascii="宋体" w:hAnsi="宋体" w:cs="宋体" w:hint="eastAsia"/>
                <w:color w:val="000000"/>
                <w:kern w:val="0"/>
                <w:sz w:val="20"/>
                <w:szCs w:val="20"/>
              </w:rPr>
              <w:t>7</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12</w:t>
            </w:r>
          </w:p>
        </w:tc>
      </w:tr>
      <w:tr w:rsidR="00552B5E" w:rsidRPr="002F4623" w:rsidTr="003055AB">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第二十条第（五）项</w:t>
            </w:r>
          </w:p>
        </w:tc>
      </w:tr>
      <w:tr w:rsidR="00552B5E" w:rsidRPr="002F4623" w:rsidTr="003055AB">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处理决定数量</w:t>
            </w:r>
          </w:p>
        </w:tc>
      </w:tr>
      <w:tr w:rsidR="00552B5E" w:rsidRPr="002F4623" w:rsidTr="003055AB">
        <w:trPr>
          <w:trHeight w:val="528"/>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lastRenderedPageBreak/>
              <w:t>行政许可</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12</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944</w:t>
            </w:r>
          </w:p>
        </w:tc>
      </w:tr>
      <w:tr w:rsidR="00552B5E" w:rsidRPr="002F4623" w:rsidTr="003055AB">
        <w:trPr>
          <w:trHeight w:val="55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其他对外管理服务事项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655C5E">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sidR="00655C5E">
              <w:rPr>
                <w:rFonts w:ascii="宋体" w:hAnsi="宋体" w:cs="宋体" w:hint="eastAsia"/>
                <w:color w:val="000000"/>
                <w:kern w:val="0"/>
                <w:sz w:val="20"/>
                <w:szCs w:val="20"/>
              </w:rPr>
              <w:t>18</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655C5E">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sidR="00655C5E">
              <w:rPr>
                <w:rFonts w:ascii="宋体" w:hAnsi="宋体" w:cs="宋体" w:hint="eastAsia"/>
                <w:color w:val="000000"/>
                <w:kern w:val="0"/>
                <w:sz w:val="20"/>
                <w:szCs w:val="20"/>
              </w:rPr>
              <w:t>增2</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7F1036" w:rsidP="003055AB">
            <w:pPr>
              <w:widowControl/>
              <w:jc w:val="left"/>
              <w:rPr>
                <w:rFonts w:ascii="宋体" w:hAnsi="宋体" w:cs="宋体"/>
                <w:kern w:val="0"/>
                <w:sz w:val="24"/>
              </w:rPr>
            </w:pPr>
            <w:r>
              <w:rPr>
                <w:rFonts w:ascii="宋体" w:hAnsi="宋体" w:cs="宋体" w:hint="eastAsia"/>
                <w:color w:val="000000"/>
                <w:kern w:val="0"/>
                <w:sz w:val="20"/>
                <w:szCs w:val="20"/>
              </w:rPr>
              <w:t>1605</w:t>
            </w:r>
          </w:p>
        </w:tc>
      </w:tr>
      <w:tr w:rsidR="00552B5E" w:rsidRPr="002F4623" w:rsidTr="003055AB">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第二十条第（六）项</w:t>
            </w:r>
          </w:p>
        </w:tc>
      </w:tr>
      <w:tr w:rsidR="00552B5E" w:rsidRPr="002F4623" w:rsidTr="003055AB">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处理决定数量</w:t>
            </w:r>
          </w:p>
        </w:tc>
      </w:tr>
      <w:tr w:rsidR="00552B5E" w:rsidRPr="002F4623" w:rsidTr="003055AB">
        <w:trPr>
          <w:trHeight w:val="43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行政处罚</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12</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7</w:t>
            </w:r>
          </w:p>
        </w:tc>
      </w:tr>
      <w:tr w:rsidR="00552B5E" w:rsidRPr="002F4623" w:rsidTr="003055AB">
        <w:trPr>
          <w:trHeight w:val="40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行政强制</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r w:rsidRPr="002F4623">
              <w:rPr>
                <w:rFonts w:ascii="宋体" w:hAnsi="宋体" w:cs="宋体"/>
                <w:kern w:val="0"/>
                <w:sz w:val="24"/>
              </w:rPr>
              <w:t xml:space="preserve"> </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0</w:t>
            </w:r>
          </w:p>
        </w:tc>
      </w:tr>
      <w:tr w:rsidR="00552B5E" w:rsidRPr="002F4623" w:rsidTr="003055AB">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第二十条第（八）项</w:t>
            </w:r>
          </w:p>
        </w:tc>
      </w:tr>
      <w:tr w:rsidR="00552B5E" w:rsidRPr="002F4623" w:rsidTr="003055AB">
        <w:trPr>
          <w:trHeight w:val="27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上一年项目数量</w:t>
            </w:r>
          </w:p>
        </w:tc>
        <w:tc>
          <w:tcPr>
            <w:tcW w:w="314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本年增/减</w:t>
            </w:r>
          </w:p>
        </w:tc>
      </w:tr>
      <w:tr w:rsidR="00552B5E" w:rsidRPr="002F4623" w:rsidTr="003055AB">
        <w:trPr>
          <w:trHeight w:val="55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行政事业性收费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2</w:t>
            </w:r>
            <w:r w:rsidRPr="002F4623">
              <w:rPr>
                <w:rFonts w:ascii="宋体" w:hAnsi="宋体" w:cs="宋体"/>
                <w:kern w:val="0"/>
                <w:sz w:val="24"/>
              </w:rPr>
              <w:t xml:space="preserve"> </w:t>
            </w:r>
          </w:p>
        </w:tc>
        <w:tc>
          <w:tcPr>
            <w:tcW w:w="3146"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 </w:t>
            </w:r>
            <w:r>
              <w:rPr>
                <w:rFonts w:ascii="宋体" w:hAnsi="宋体" w:cs="宋体" w:hint="eastAsia"/>
                <w:color w:val="000000"/>
                <w:kern w:val="0"/>
                <w:sz w:val="20"/>
                <w:szCs w:val="20"/>
              </w:rPr>
              <w:t>减1</w:t>
            </w:r>
          </w:p>
        </w:tc>
      </w:tr>
      <w:tr w:rsidR="00552B5E" w:rsidRPr="002F4623" w:rsidTr="003055AB">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第二十条第（九）项</w:t>
            </w:r>
          </w:p>
        </w:tc>
      </w:tr>
      <w:tr w:rsidR="00552B5E" w:rsidRPr="002F4623" w:rsidTr="003055AB">
        <w:trPr>
          <w:trHeight w:val="585"/>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r w:rsidRPr="002F4623">
              <w:rPr>
                <w:rFonts w:ascii="宋体" w:hAnsi="宋体" w:cs="宋体" w:hint="eastAsia"/>
                <w:color w:val="000000"/>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552B5E" w:rsidRPr="002F4623" w:rsidRDefault="00552B5E" w:rsidP="003055AB">
            <w:pPr>
              <w:widowControl/>
              <w:jc w:val="center"/>
              <w:rPr>
                <w:rFonts w:ascii="宋体" w:hAnsi="宋体" w:cs="宋体"/>
                <w:kern w:val="0"/>
                <w:sz w:val="24"/>
              </w:rPr>
            </w:pPr>
            <w:proofErr w:type="gramStart"/>
            <w:r w:rsidRPr="002F4623">
              <w:rPr>
                <w:rFonts w:ascii="宋体" w:hAnsi="宋体" w:cs="宋体" w:hint="eastAsia"/>
                <w:color w:val="000000"/>
                <w:kern w:val="0"/>
                <w:sz w:val="20"/>
                <w:szCs w:val="20"/>
              </w:rPr>
              <w:t>采购总</w:t>
            </w:r>
            <w:proofErr w:type="gramEnd"/>
            <w:r w:rsidRPr="002F4623">
              <w:rPr>
                <w:rFonts w:ascii="宋体" w:hAnsi="宋体" w:cs="宋体" w:hint="eastAsia"/>
                <w:color w:val="000000"/>
                <w:kern w:val="0"/>
                <w:sz w:val="20"/>
                <w:szCs w:val="20"/>
              </w:rPr>
              <w:t>金额</w:t>
            </w:r>
          </w:p>
        </w:tc>
      </w:tr>
      <w:tr w:rsidR="00552B5E" w:rsidRPr="002F4623" w:rsidTr="003055AB">
        <w:trPr>
          <w:trHeight w:val="53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政府集中采购</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F4623">
              <w:rPr>
                <w:rFonts w:ascii="宋体" w:hAnsi="宋体" w:cs="宋体" w:hint="eastAsia"/>
                <w:color w:val="000000"/>
                <w:kern w:val="0"/>
                <w:sz w:val="20"/>
                <w:szCs w:val="20"/>
              </w:rPr>
              <w:t xml:space="preserve">　</w:t>
            </w:r>
            <w:r>
              <w:rPr>
                <w:rFonts w:ascii="宋体" w:hAnsi="宋体" w:cs="宋体" w:hint="eastAsia"/>
                <w:color w:val="000000"/>
                <w:kern w:val="0"/>
                <w:sz w:val="20"/>
                <w:szCs w:val="20"/>
              </w:rPr>
              <w:t>703项</w:t>
            </w:r>
          </w:p>
        </w:tc>
        <w:tc>
          <w:tcPr>
            <w:tcW w:w="3146"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552B5E" w:rsidRPr="002F4623" w:rsidRDefault="00552B5E" w:rsidP="003055AB">
            <w:pPr>
              <w:widowControl/>
              <w:jc w:val="left"/>
              <w:rPr>
                <w:rFonts w:ascii="宋体" w:hAnsi="宋体" w:cs="宋体"/>
                <w:kern w:val="0"/>
                <w:sz w:val="24"/>
              </w:rPr>
            </w:pPr>
            <w:r w:rsidRPr="002C31DB">
              <w:rPr>
                <w:rFonts w:ascii="宋体" w:hAnsi="宋体" w:cs="宋体" w:hint="eastAsia"/>
                <w:color w:val="000000"/>
                <w:kern w:val="0"/>
                <w:sz w:val="20"/>
                <w:szCs w:val="20"/>
              </w:rPr>
              <w:t>1416.3万元</w:t>
            </w:r>
          </w:p>
        </w:tc>
      </w:tr>
    </w:tbl>
    <w:p w:rsidR="00552B5E" w:rsidRPr="003257D6" w:rsidRDefault="00552B5E" w:rsidP="00552B5E">
      <w:pPr>
        <w:widowControl/>
        <w:shd w:val="clear" w:color="auto" w:fill="FFFFFF"/>
        <w:spacing w:after="240"/>
        <w:ind w:firstLine="480"/>
        <w:rPr>
          <w:rFonts w:ascii="黑体" w:eastAsia="黑体" w:hAnsi="宋体" w:cs="宋体"/>
          <w:bCs/>
          <w:kern w:val="0"/>
        </w:rPr>
      </w:pPr>
      <w:r w:rsidRPr="003257D6">
        <w:rPr>
          <w:rFonts w:ascii="黑体" w:eastAsia="黑体" w:hAnsi="宋体" w:cs="宋体" w:hint="eastAsia"/>
          <w:bCs/>
          <w:kern w:val="0"/>
        </w:rPr>
        <w:t>三、收到和处理政府信息公开申请情况</w:t>
      </w:r>
    </w:p>
    <w:tbl>
      <w:tblPr>
        <w:tblW w:w="9071" w:type="dxa"/>
        <w:jc w:val="center"/>
        <w:tblCellMar>
          <w:left w:w="0" w:type="dxa"/>
          <w:right w:w="0" w:type="dxa"/>
        </w:tblCellMar>
        <w:tblLook w:val="04A0" w:firstRow="1" w:lastRow="0" w:firstColumn="1" w:lastColumn="0" w:noHBand="0" w:noVBand="1"/>
      </w:tblPr>
      <w:tblGrid>
        <w:gridCol w:w="608"/>
        <w:gridCol w:w="854"/>
        <w:gridCol w:w="2089"/>
        <w:gridCol w:w="815"/>
        <w:gridCol w:w="755"/>
        <w:gridCol w:w="755"/>
        <w:gridCol w:w="814"/>
        <w:gridCol w:w="974"/>
        <w:gridCol w:w="712"/>
        <w:gridCol w:w="695"/>
      </w:tblGrid>
      <w:tr w:rsidR="00552B5E" w:rsidRPr="003257D6" w:rsidTr="003055AB">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（本列数据的勾</w:t>
            </w:r>
            <w:proofErr w:type="gramStart"/>
            <w:r w:rsidRPr="003257D6">
              <w:rPr>
                <w:rFonts w:ascii="宋体" w:hAnsi="宋体" w:cs="宋体" w:hint="eastAsia"/>
                <w:kern w:val="0"/>
                <w:sz w:val="20"/>
                <w:szCs w:val="20"/>
              </w:rPr>
              <w:t>稽</w:t>
            </w:r>
            <w:proofErr w:type="gramEnd"/>
            <w:r w:rsidRPr="003257D6">
              <w:rPr>
                <w:rFonts w:ascii="宋体" w:hAnsi="宋体" w:cs="宋体" w:hint="eastAsia"/>
                <w:kern w:val="0"/>
                <w:sz w:val="20"/>
                <w:szCs w:val="20"/>
              </w:rPr>
              <w:t>关系为：第一项加第二项之和，等于第三项加第四项之和）</w:t>
            </w:r>
          </w:p>
        </w:tc>
        <w:tc>
          <w:tcPr>
            <w:tcW w:w="559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申请人情况</w:t>
            </w:r>
          </w:p>
        </w:tc>
      </w:tr>
      <w:tr w:rsidR="00552B5E" w:rsidRPr="003257D6" w:rsidTr="003055AB">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自然人</w:t>
            </w:r>
          </w:p>
        </w:tc>
        <w:tc>
          <w:tcPr>
            <w:tcW w:w="40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法人或其他组织</w:t>
            </w:r>
          </w:p>
        </w:tc>
        <w:tc>
          <w:tcPr>
            <w:tcW w:w="7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总计</w:t>
            </w:r>
          </w:p>
        </w:tc>
      </w:tr>
      <w:tr w:rsidR="00552B5E" w:rsidRPr="003257D6" w:rsidTr="003055AB">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商业企业</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科研机构</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社会公益组织</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法律服务机构</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其他</w:t>
            </w:r>
          </w:p>
        </w:tc>
        <w:tc>
          <w:tcPr>
            <w:tcW w:w="0" w:type="auto"/>
            <w:vMerge/>
            <w:tcBorders>
              <w:top w:val="single" w:sz="8" w:space="0" w:color="auto"/>
              <w:left w:val="nil"/>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r>
      <w:tr w:rsidR="00552B5E" w:rsidRPr="003257D6" w:rsidTr="003055AB">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宋体" w:hAnsi="宋体" w:cs="宋体"/>
                <w:kern w:val="0"/>
                <w:sz w:val="24"/>
              </w:rPr>
            </w:pPr>
            <w:r w:rsidRPr="003257D6">
              <w:rPr>
                <w:rFonts w:ascii="宋体" w:hAnsi="宋体" w:cs="宋体" w:hint="eastAsia"/>
                <w:kern w:val="0"/>
                <w:sz w:val="20"/>
                <w:szCs w:val="20"/>
              </w:rPr>
              <w:t>一、本年新收政府信息公开申请数量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62</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4</w:t>
            </w:r>
            <w:r w:rsidRPr="003257D6">
              <w:rPr>
                <w:rFonts w:ascii="Calibri" w:hAnsi="Calibri" w:cs="Calibri"/>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66</w:t>
            </w:r>
          </w:p>
        </w:tc>
      </w:tr>
      <w:tr w:rsidR="00552B5E" w:rsidRPr="003257D6" w:rsidTr="003055AB">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宋体" w:hAnsi="宋体" w:cs="宋体"/>
                <w:kern w:val="0"/>
                <w:sz w:val="24"/>
              </w:rPr>
            </w:pPr>
            <w:r w:rsidRPr="003257D6">
              <w:rPr>
                <w:rFonts w:ascii="宋体" w:hAnsi="宋体" w:cs="宋体" w:hint="eastAsia"/>
                <w:kern w:val="0"/>
                <w:sz w:val="20"/>
                <w:szCs w:val="20"/>
              </w:rPr>
              <w:t>二、上年结转政府信息公开申请数量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r>
      <w:tr w:rsidR="00552B5E" w:rsidRPr="003257D6" w:rsidTr="003055AB">
        <w:trPr>
          <w:jc w:val="center"/>
        </w:trPr>
        <w:tc>
          <w:tcPr>
            <w:tcW w:w="4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三、</w:t>
            </w:r>
            <w:r w:rsidRPr="003257D6">
              <w:rPr>
                <w:rFonts w:ascii="宋体" w:hAnsi="宋体" w:cs="宋体" w:hint="eastAsia"/>
                <w:kern w:val="0"/>
                <w:sz w:val="20"/>
                <w:szCs w:val="20"/>
              </w:rPr>
              <w:lastRenderedPageBreak/>
              <w:t>本年度办理结果</w:t>
            </w: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lastRenderedPageBreak/>
              <w:t>（一）予以公开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20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3</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23</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（二）部分公开（区分处理的，只计这一情形，不计其他情形）</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1</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1</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（三）不予公开</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1.属于国家秘密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2.其他法律行政法规禁止公开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3.危及“三安全</w:t>
            </w:r>
            <w:proofErr w:type="gramStart"/>
            <w:r w:rsidRPr="003257D6">
              <w:rPr>
                <w:rFonts w:ascii="楷体_GB2312" w:eastAsia="楷体_GB2312" w:hAnsi="楷体" w:cs="宋体" w:hint="eastAsia"/>
                <w:kern w:val="0"/>
                <w:sz w:val="20"/>
                <w:szCs w:val="20"/>
              </w:rPr>
              <w:t>一</w:t>
            </w:r>
            <w:proofErr w:type="gramEnd"/>
            <w:r w:rsidRPr="003257D6">
              <w:rPr>
                <w:rFonts w:ascii="楷体_GB2312" w:eastAsia="楷体_GB2312" w:hAnsi="楷体" w:cs="宋体" w:hint="eastAsia"/>
                <w:kern w:val="0"/>
                <w:sz w:val="20"/>
                <w:szCs w:val="20"/>
              </w:rPr>
              <w:t>稳定”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4.保护第三方合法权益</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4</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4</w:t>
            </w:r>
            <w:r w:rsidRPr="003257D6">
              <w:rPr>
                <w:rFonts w:ascii="Calibri" w:hAnsi="Calibri" w:cs="Calibri"/>
                <w:kern w:val="0"/>
                <w:sz w:val="20"/>
                <w:szCs w:val="20"/>
              </w:rPr>
              <w:t> </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5.属于三类内部事务信息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6.属于四类过程性信息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7.属于行政执法案卷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4</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4</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8.属于行政查询事项</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2</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2</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（四）无法提供</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1.本机关不掌握相关政府信息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15</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1</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16</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2.没有现成信息需要另行制作</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3.补正后申请内容仍不明确</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7</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7</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（五）</w:t>
            </w:r>
            <w:proofErr w:type="gramStart"/>
            <w:r w:rsidRPr="003257D6">
              <w:rPr>
                <w:rFonts w:ascii="楷体_GB2312" w:eastAsia="楷体_GB2312" w:hAnsi="楷体" w:cs="宋体" w:hint="eastAsia"/>
                <w:kern w:val="0"/>
                <w:sz w:val="20"/>
                <w:szCs w:val="20"/>
              </w:rPr>
              <w:t>不予处</w:t>
            </w:r>
            <w:r w:rsidRPr="003257D6">
              <w:rPr>
                <w:rFonts w:ascii="楷体_GB2312" w:eastAsia="楷体_GB2312" w:hAnsi="楷体" w:cs="宋体" w:hint="eastAsia"/>
                <w:kern w:val="0"/>
                <w:sz w:val="20"/>
                <w:szCs w:val="20"/>
              </w:rPr>
              <w:lastRenderedPageBreak/>
              <w:t>理</w:t>
            </w:r>
            <w:proofErr w:type="gramEnd"/>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lastRenderedPageBreak/>
              <w:t>1.信访举报投诉类申请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2.重复申请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3.要求提供公开出版物</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4.无正当理由大量反复申请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楷体_GB2312" w:eastAsia="楷体_GB2312" w:hAnsi="宋体" w:cs="宋体" w:hint="eastAsia"/>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spacing w:line="500" w:lineRule="exact"/>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5.要求行政机关确认或重新出具已获取信息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0</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（六）其他处理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3</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sidRPr="003257D6">
              <w:rPr>
                <w:rFonts w:ascii="Calibri" w:eastAsia="楷体_GB2312" w:hAnsi="Calibri" w:cs="Calibri" w:hint="eastAsia"/>
                <w:kern w:val="0"/>
                <w:sz w:val="20"/>
                <w:szCs w:val="20"/>
              </w:rPr>
              <w:t> </w:t>
            </w:r>
            <w:r>
              <w:rPr>
                <w:rFonts w:ascii="Calibri" w:eastAsia="楷体_GB2312"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3</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2985"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楷体_GB2312" w:eastAsia="楷体_GB2312" w:hAnsi="宋体" w:cs="宋体" w:hint="eastAsia"/>
                <w:kern w:val="0"/>
                <w:sz w:val="24"/>
              </w:rPr>
            </w:pPr>
            <w:r w:rsidRPr="003257D6">
              <w:rPr>
                <w:rFonts w:ascii="楷体_GB2312" w:eastAsia="楷体_GB2312" w:hAnsi="楷体" w:cs="宋体" w:hint="eastAsia"/>
                <w:kern w:val="0"/>
                <w:sz w:val="20"/>
                <w:szCs w:val="20"/>
              </w:rPr>
              <w:t>（七）总计</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56</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楷体_GB2312" w:eastAsia="楷体_GB2312" w:hAnsi="宋体" w:cs="宋体" w:hint="eastAsia"/>
                <w:kern w:val="0"/>
                <w:sz w:val="24"/>
              </w:rPr>
            </w:pPr>
            <w:r>
              <w:rPr>
                <w:rFonts w:ascii="Calibri" w:eastAsia="楷体_GB2312" w:hAnsi="Calibri" w:cs="Calibri" w:hint="eastAsia"/>
                <w:kern w:val="0"/>
                <w:sz w:val="20"/>
                <w:szCs w:val="20"/>
              </w:rPr>
              <w:t>4</w:t>
            </w:r>
            <w:r w:rsidRPr="003257D6">
              <w:rPr>
                <w:rFonts w:ascii="Calibri" w:eastAsia="楷体_GB2312" w:hAnsi="Calibri" w:cs="Calibri" w:hint="eastAsia"/>
                <w:kern w:val="0"/>
                <w:sz w:val="20"/>
                <w:szCs w:val="20"/>
              </w:rPr>
              <w:t> </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60</w:t>
            </w:r>
          </w:p>
        </w:tc>
      </w:tr>
      <w:tr w:rsidR="00552B5E" w:rsidRPr="003257D6" w:rsidTr="003055AB">
        <w:trPr>
          <w:jc w:val="center"/>
        </w:trPr>
        <w:tc>
          <w:tcPr>
            <w:tcW w:w="34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宋体" w:hAnsi="宋体" w:cs="宋体"/>
                <w:kern w:val="0"/>
                <w:sz w:val="24"/>
              </w:rPr>
            </w:pPr>
            <w:r w:rsidRPr="003257D6">
              <w:rPr>
                <w:rFonts w:ascii="宋体" w:hAnsi="宋体" w:cs="宋体" w:hint="eastAsia"/>
                <w:kern w:val="0"/>
                <w:sz w:val="20"/>
                <w:szCs w:val="20"/>
              </w:rPr>
              <w:t>四、结转下年度继续办理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6</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2C31DB" w:rsidRDefault="00552B5E" w:rsidP="003055AB">
            <w:pPr>
              <w:widowControl/>
              <w:jc w:val="center"/>
              <w:rPr>
                <w:rFonts w:ascii="Calibri" w:hAnsi="Calibri" w:cs="Calibri"/>
                <w:kern w:val="0"/>
                <w:sz w:val="20"/>
                <w:szCs w:val="20"/>
              </w:rPr>
            </w:pPr>
            <w:r w:rsidRPr="002C31DB">
              <w:rPr>
                <w:rFonts w:ascii="Calibri" w:hAnsi="Calibri" w:cs="Calibri" w:hint="eastAsia"/>
                <w:kern w:val="0"/>
                <w:sz w:val="20"/>
                <w:szCs w:val="20"/>
              </w:rPr>
              <w:t>6</w:t>
            </w:r>
          </w:p>
        </w:tc>
      </w:tr>
    </w:tbl>
    <w:p w:rsidR="00552B5E" w:rsidRPr="003257D6" w:rsidRDefault="00552B5E" w:rsidP="00552B5E">
      <w:pPr>
        <w:widowControl/>
        <w:shd w:val="clear" w:color="auto" w:fill="FFFFFF"/>
        <w:ind w:firstLine="480"/>
        <w:rPr>
          <w:rFonts w:ascii="宋体" w:hAnsi="宋体" w:cs="宋体" w:hint="eastAsia"/>
          <w:kern w:val="0"/>
          <w:sz w:val="24"/>
        </w:rPr>
      </w:pPr>
    </w:p>
    <w:p w:rsidR="00552B5E" w:rsidRPr="003257D6" w:rsidRDefault="00552B5E" w:rsidP="00552B5E">
      <w:pPr>
        <w:widowControl/>
        <w:shd w:val="clear" w:color="auto" w:fill="FFFFFF"/>
        <w:ind w:firstLine="482"/>
        <w:rPr>
          <w:rFonts w:ascii="黑体" w:eastAsia="黑体" w:hAnsi="宋体" w:cs="宋体"/>
          <w:bCs/>
          <w:kern w:val="0"/>
        </w:rPr>
      </w:pPr>
      <w:r w:rsidRPr="003257D6">
        <w:rPr>
          <w:rFonts w:ascii="黑体" w:eastAsia="黑体" w:hAnsi="宋体" w:cs="宋体" w:hint="eastAsia"/>
          <w:bCs/>
          <w:kern w:val="0"/>
        </w:rPr>
        <w:t>四、政府信息公开行政复议、行政诉讼情况</w:t>
      </w:r>
    </w:p>
    <w:p w:rsidR="00552B5E" w:rsidRPr="00F675ED" w:rsidRDefault="00552B5E" w:rsidP="00552B5E">
      <w:pPr>
        <w:widowControl/>
        <w:shd w:val="clear" w:color="auto" w:fill="FFFFFF"/>
        <w:ind w:firstLine="480"/>
        <w:rPr>
          <w:rFonts w:ascii="宋体" w:hAnsi="宋体" w:cs="宋体"/>
          <w:kern w:val="0"/>
          <w:sz w:val="24"/>
        </w:rPr>
      </w:pPr>
    </w:p>
    <w:tbl>
      <w:tblPr>
        <w:tblW w:w="9071" w:type="dxa"/>
        <w:jc w:val="center"/>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552B5E" w:rsidRPr="003257D6" w:rsidTr="003055AB">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行政诉讼</w:t>
            </w:r>
          </w:p>
        </w:tc>
      </w:tr>
      <w:tr w:rsidR="00552B5E" w:rsidRPr="003257D6" w:rsidTr="003055AB">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复议后起诉</w:t>
            </w:r>
          </w:p>
        </w:tc>
      </w:tr>
      <w:tr w:rsidR="00552B5E" w:rsidRPr="003257D6" w:rsidTr="003055AB">
        <w:trPr>
          <w:jc w:val="center"/>
        </w:trPr>
        <w:tc>
          <w:tcPr>
            <w:tcW w:w="0" w:type="auto"/>
            <w:vMerge/>
            <w:tcBorders>
              <w:top w:val="nil"/>
              <w:left w:val="single" w:sz="8" w:space="0" w:color="auto"/>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nil"/>
              <w:left w:val="nil"/>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single" w:sz="8" w:space="0" w:color="auto"/>
              <w:left w:val="nil"/>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single" w:sz="8" w:space="0" w:color="auto"/>
              <w:left w:val="nil"/>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0" w:type="auto"/>
            <w:vMerge/>
            <w:tcBorders>
              <w:top w:val="single" w:sz="8" w:space="0" w:color="auto"/>
              <w:left w:val="nil"/>
              <w:bottom w:val="single" w:sz="8" w:space="0" w:color="auto"/>
              <w:right w:val="single" w:sz="8" w:space="0" w:color="auto"/>
            </w:tcBorders>
            <w:vAlign w:val="center"/>
          </w:tcPr>
          <w:p w:rsidR="00552B5E" w:rsidRPr="003257D6" w:rsidRDefault="00552B5E" w:rsidP="003055AB">
            <w:pPr>
              <w:widowControl/>
              <w:jc w:val="left"/>
              <w:rPr>
                <w:rFonts w:ascii="宋体" w:hAnsi="宋体" w:cs="宋体"/>
                <w:kern w:val="0"/>
                <w:sz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总计</w:t>
            </w:r>
          </w:p>
        </w:tc>
      </w:tr>
      <w:tr w:rsidR="00552B5E" w:rsidRPr="003257D6" w:rsidTr="003055AB">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3</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Calibri" w:hAnsi="Calibri" w:cs="Calibri" w:hint="eastAsia"/>
                <w:kern w:val="0"/>
                <w:sz w:val="20"/>
                <w:szCs w:val="20"/>
              </w:rPr>
              <w:t>0</w:t>
            </w:r>
            <w:r w:rsidRPr="003257D6">
              <w:rPr>
                <w:rFonts w:ascii="Calibri" w:hAnsi="Calibri" w:cs="Calibri"/>
                <w:kern w:val="0"/>
                <w:sz w:val="20"/>
                <w:szCs w:val="20"/>
              </w:rPr>
              <w:t> </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Calibri" w:hAnsi="Calibri" w:cs="Calibri"/>
                <w:kern w:val="0"/>
                <w:sz w:val="20"/>
                <w:szCs w:val="20"/>
              </w:rPr>
              <w:t> </w:t>
            </w:r>
            <w:r>
              <w:rPr>
                <w:rFonts w:ascii="Calibri" w:hAnsi="Calibri" w:cs="Calibri" w:hint="eastAsia"/>
                <w:kern w:val="0"/>
                <w:sz w:val="20"/>
                <w:szCs w:val="20"/>
              </w:rPr>
              <w:t>4</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宋体" w:hAnsi="宋体" w:cs="宋体" w:hint="eastAsia"/>
                <w:kern w:val="0"/>
                <w:sz w:val="20"/>
                <w:szCs w:val="20"/>
              </w:rPr>
              <w:t>0</w:t>
            </w:r>
            <w:r w:rsidRPr="003257D6">
              <w:rPr>
                <w:rFonts w:ascii="宋体" w:hAnsi="宋体" w:cs="宋体" w:hint="eastAsia"/>
                <w:kern w:val="0"/>
                <w:sz w:val="20"/>
                <w:szCs w:val="20"/>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宋体" w:hAnsi="宋体" w:cs="宋体" w:hint="eastAsia"/>
                <w:kern w:val="0"/>
                <w:sz w:val="20"/>
                <w:szCs w:val="20"/>
              </w:rPr>
              <w:t>0</w:t>
            </w:r>
            <w:r w:rsidRPr="003257D6">
              <w:rPr>
                <w:rFonts w:ascii="宋体" w:hAnsi="宋体" w:cs="宋体" w:hint="eastAsia"/>
                <w:kern w:val="0"/>
                <w:sz w:val="20"/>
                <w:szCs w:val="20"/>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 </w:t>
            </w: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宋体" w:hAnsi="宋体" w:cs="宋体" w:hint="eastAsia"/>
                <w:kern w:val="0"/>
                <w:sz w:val="20"/>
                <w:szCs w:val="20"/>
              </w:rPr>
              <w:t>0</w:t>
            </w:r>
            <w:r w:rsidRPr="003257D6">
              <w:rPr>
                <w:rFonts w:ascii="宋体" w:hAnsi="宋体" w:cs="宋体" w:hint="eastAsia"/>
                <w:kern w:val="0"/>
                <w:sz w:val="20"/>
                <w:szCs w:val="20"/>
              </w:rPr>
              <w:t>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 </w:t>
            </w: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宋体" w:hAnsi="宋体" w:cs="宋体" w:hint="eastAsia"/>
                <w:kern w:val="0"/>
                <w:sz w:val="24"/>
              </w:rPr>
              <w:t>3</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 </w:t>
            </w: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Pr>
                <w:rFonts w:ascii="宋体" w:hAnsi="宋体" w:cs="宋体" w:hint="eastAsia"/>
                <w:kern w:val="0"/>
                <w:sz w:val="20"/>
                <w:szCs w:val="20"/>
              </w:rPr>
              <w:t>1</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center"/>
              <w:rPr>
                <w:rFonts w:ascii="宋体" w:hAnsi="宋体" w:cs="宋体"/>
                <w:kern w:val="0"/>
                <w:sz w:val="24"/>
              </w:rPr>
            </w:pPr>
            <w:r w:rsidRPr="003257D6">
              <w:rPr>
                <w:rFonts w:ascii="宋体" w:hAnsi="宋体" w:cs="宋体" w:hint="eastAsia"/>
                <w:kern w:val="0"/>
                <w:sz w:val="20"/>
                <w:szCs w:val="20"/>
              </w:rPr>
              <w:t> </w:t>
            </w:r>
            <w:r>
              <w:rPr>
                <w:rFonts w:ascii="宋体" w:hAnsi="宋体" w:cs="宋体" w:hint="eastAsia"/>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552B5E" w:rsidRPr="003257D6" w:rsidRDefault="00552B5E" w:rsidP="003055AB">
            <w:pPr>
              <w:widowControl/>
              <w:jc w:val="left"/>
              <w:rPr>
                <w:rFonts w:ascii="宋体" w:hAnsi="宋体" w:cs="宋体"/>
                <w:kern w:val="0"/>
                <w:sz w:val="24"/>
              </w:rPr>
            </w:pPr>
            <w:r>
              <w:rPr>
                <w:rFonts w:ascii="宋体" w:hAnsi="宋体" w:cs="宋体" w:hint="eastAsia"/>
                <w:kern w:val="0"/>
                <w:sz w:val="24"/>
              </w:rPr>
              <w:t>4</w:t>
            </w:r>
          </w:p>
        </w:tc>
      </w:tr>
    </w:tbl>
    <w:p w:rsidR="00552B5E" w:rsidRDefault="00552B5E" w:rsidP="00552B5E">
      <w:pPr>
        <w:widowControl/>
        <w:shd w:val="clear" w:color="auto" w:fill="FFFFFF"/>
        <w:spacing w:after="240"/>
        <w:ind w:firstLineChars="150" w:firstLine="474"/>
        <w:rPr>
          <w:rFonts w:ascii="黑体" w:eastAsia="黑体" w:hAnsi="宋体" w:cs="宋体" w:hint="eastAsia"/>
          <w:bCs/>
          <w:kern w:val="0"/>
        </w:rPr>
      </w:pPr>
    </w:p>
    <w:p w:rsidR="00552B5E" w:rsidRPr="00480E8B" w:rsidRDefault="00552B5E" w:rsidP="00552B5E">
      <w:pPr>
        <w:ind w:firstLineChars="200" w:firstLine="632"/>
        <w:rPr>
          <w:rFonts w:ascii="黑体" w:eastAsia="黑体" w:hAnsi="黑体" w:hint="eastAsia"/>
        </w:rPr>
      </w:pPr>
      <w:r w:rsidRPr="00480E8B">
        <w:rPr>
          <w:rFonts w:ascii="黑体" w:eastAsia="黑体" w:hAnsi="黑体" w:hint="eastAsia"/>
        </w:rPr>
        <w:t>五、存在的主要问题及改进情况</w:t>
      </w:r>
    </w:p>
    <w:p w:rsidR="00552B5E" w:rsidRDefault="00552B5E" w:rsidP="00552B5E">
      <w:pPr>
        <w:spacing w:line="560" w:lineRule="exact"/>
        <w:ind w:firstLineChars="200" w:firstLine="632"/>
        <w:rPr>
          <w:rFonts w:eastAsia="仿宋_GB2312" w:hint="eastAsia"/>
        </w:rPr>
      </w:pPr>
      <w:r>
        <w:rPr>
          <w:rFonts w:eastAsia="仿宋_GB2312" w:hint="eastAsia"/>
        </w:rPr>
        <w:lastRenderedPageBreak/>
        <w:t>行政许可类文件未实现统一编号，</w:t>
      </w:r>
      <w:r w:rsidRPr="00311E6F">
        <w:rPr>
          <w:rFonts w:eastAsia="仿宋_GB2312"/>
        </w:rPr>
        <w:t>2019</w:t>
      </w:r>
      <w:r w:rsidRPr="00311E6F">
        <w:rPr>
          <w:rFonts w:eastAsia="仿宋_GB2312"/>
        </w:rPr>
        <w:t>年市司法局公开行政许可文件</w:t>
      </w:r>
      <w:r w:rsidRPr="00311E6F">
        <w:rPr>
          <w:rFonts w:eastAsia="仿宋_GB2312"/>
        </w:rPr>
        <w:t>944</w:t>
      </w:r>
      <w:r w:rsidRPr="00311E6F">
        <w:rPr>
          <w:rFonts w:eastAsia="仿宋_GB2312"/>
        </w:rPr>
        <w:t>件，其中，公证类许可决定书文号为</w:t>
      </w:r>
      <w:r w:rsidRPr="00311E6F">
        <w:rPr>
          <w:rFonts w:eastAsia="仿宋_GB2312"/>
        </w:rPr>
        <w:t>“</w:t>
      </w:r>
      <w:r w:rsidRPr="00311E6F">
        <w:rPr>
          <w:rFonts w:eastAsia="仿宋_GB2312"/>
        </w:rPr>
        <w:t>津司发</w:t>
      </w:r>
      <w:r w:rsidRPr="00311E6F">
        <w:rPr>
          <w:rFonts w:eastAsia="仿宋_GB2312"/>
        </w:rPr>
        <w:t>”</w:t>
      </w:r>
      <w:r w:rsidRPr="00311E6F">
        <w:rPr>
          <w:rFonts w:eastAsia="仿宋_GB2312"/>
        </w:rPr>
        <w:t>，</w:t>
      </w:r>
      <w:r>
        <w:rPr>
          <w:rFonts w:eastAsia="仿宋_GB2312" w:hint="eastAsia"/>
        </w:rPr>
        <w:t>共印发文件</w:t>
      </w:r>
      <w:r>
        <w:rPr>
          <w:rFonts w:eastAsia="仿宋_GB2312" w:hint="eastAsia"/>
        </w:rPr>
        <w:t>6</w:t>
      </w:r>
      <w:r>
        <w:rPr>
          <w:rFonts w:eastAsia="仿宋_GB2312" w:hint="eastAsia"/>
        </w:rPr>
        <w:t>件；</w:t>
      </w:r>
      <w:r w:rsidRPr="00311E6F">
        <w:rPr>
          <w:rFonts w:eastAsia="仿宋_GB2312"/>
        </w:rPr>
        <w:t>司法鉴定类和律师事务所及分所变更、注销类许可决定书文号为</w:t>
      </w:r>
      <w:r w:rsidRPr="00311E6F">
        <w:rPr>
          <w:rFonts w:eastAsia="仿宋_GB2312"/>
        </w:rPr>
        <w:t>“</w:t>
      </w:r>
      <w:r w:rsidRPr="00311E6F">
        <w:rPr>
          <w:rFonts w:eastAsia="仿宋_GB2312"/>
        </w:rPr>
        <w:t>津司许可</w:t>
      </w:r>
      <w:r w:rsidRPr="00311E6F">
        <w:rPr>
          <w:rFonts w:eastAsia="仿宋_GB2312"/>
        </w:rPr>
        <w:t>”</w:t>
      </w:r>
      <w:r w:rsidRPr="00311E6F">
        <w:rPr>
          <w:rFonts w:eastAsia="仿宋_GB2312"/>
        </w:rPr>
        <w:t>，</w:t>
      </w:r>
      <w:r>
        <w:rPr>
          <w:rFonts w:eastAsia="仿宋_GB2312" w:hint="eastAsia"/>
        </w:rPr>
        <w:t>共印发文件</w:t>
      </w:r>
      <w:r>
        <w:rPr>
          <w:rFonts w:eastAsia="仿宋_GB2312" w:hint="eastAsia"/>
        </w:rPr>
        <w:t>200</w:t>
      </w:r>
      <w:r>
        <w:rPr>
          <w:rFonts w:eastAsia="仿宋_GB2312" w:hint="eastAsia"/>
        </w:rPr>
        <w:t>件；</w:t>
      </w:r>
      <w:r w:rsidRPr="00311E6F">
        <w:rPr>
          <w:rFonts w:eastAsia="仿宋_GB2312"/>
        </w:rPr>
        <w:t>律师执业许可决定书、律师事务所及分所设立许可决定书文号为</w:t>
      </w:r>
      <w:r w:rsidRPr="00311E6F">
        <w:rPr>
          <w:rFonts w:eastAsia="仿宋_GB2312"/>
        </w:rPr>
        <w:t>“</w:t>
      </w:r>
      <w:r w:rsidRPr="00311E6F">
        <w:rPr>
          <w:rFonts w:eastAsia="仿宋_GB2312"/>
        </w:rPr>
        <w:t>津司许律</w:t>
      </w:r>
      <w:r w:rsidRPr="00311E6F">
        <w:rPr>
          <w:rFonts w:eastAsia="仿宋_GB2312"/>
        </w:rPr>
        <w:t>”</w:t>
      </w:r>
      <w:r w:rsidRPr="00311E6F">
        <w:rPr>
          <w:rFonts w:eastAsia="仿宋_GB2312"/>
        </w:rPr>
        <w:t>，</w:t>
      </w:r>
      <w:r>
        <w:rPr>
          <w:rFonts w:eastAsia="仿宋_GB2312" w:hint="eastAsia"/>
        </w:rPr>
        <w:t>共印发文件</w:t>
      </w:r>
      <w:r>
        <w:rPr>
          <w:rFonts w:eastAsia="仿宋_GB2312" w:hint="eastAsia"/>
        </w:rPr>
        <w:t>738</w:t>
      </w:r>
      <w:r>
        <w:rPr>
          <w:rFonts w:eastAsia="仿宋_GB2312" w:hint="eastAsia"/>
        </w:rPr>
        <w:t>件。</w:t>
      </w:r>
    </w:p>
    <w:p w:rsidR="00552B5E" w:rsidRPr="00311E6F" w:rsidRDefault="00552B5E" w:rsidP="00552B5E">
      <w:pPr>
        <w:spacing w:line="560" w:lineRule="exact"/>
        <w:ind w:firstLineChars="200" w:firstLine="632"/>
        <w:rPr>
          <w:rFonts w:eastAsia="仿宋_GB2312"/>
        </w:rPr>
      </w:pPr>
      <w:r>
        <w:rPr>
          <w:rFonts w:eastAsia="仿宋_GB2312" w:hint="eastAsia"/>
        </w:rPr>
        <w:t>为规范管理并便于群众查找，</w:t>
      </w:r>
      <w:r w:rsidRPr="00311E6F">
        <w:rPr>
          <w:rFonts w:eastAsia="仿宋_GB2312"/>
        </w:rPr>
        <w:t>2020</w:t>
      </w:r>
      <w:r w:rsidRPr="00311E6F">
        <w:rPr>
          <w:rFonts w:eastAsia="仿宋_GB2312"/>
        </w:rPr>
        <w:t>年</w:t>
      </w:r>
      <w:r w:rsidRPr="00311E6F">
        <w:rPr>
          <w:rFonts w:eastAsia="仿宋_GB2312"/>
        </w:rPr>
        <w:t>1</w:t>
      </w:r>
      <w:r w:rsidRPr="00311E6F">
        <w:rPr>
          <w:rFonts w:eastAsia="仿宋_GB2312"/>
        </w:rPr>
        <w:t>月</w:t>
      </w:r>
      <w:r w:rsidRPr="00311E6F">
        <w:rPr>
          <w:rFonts w:eastAsia="仿宋_GB2312"/>
        </w:rPr>
        <w:t>1</w:t>
      </w:r>
      <w:r w:rsidRPr="00311E6F">
        <w:rPr>
          <w:rFonts w:eastAsia="仿宋_GB2312"/>
        </w:rPr>
        <w:t>日起，</w:t>
      </w:r>
      <w:r>
        <w:rPr>
          <w:rFonts w:eastAsia="仿宋_GB2312" w:hint="eastAsia"/>
        </w:rPr>
        <w:t>市司法局所有行政许可类文件统一为“津司许”，其中，</w:t>
      </w:r>
      <w:r w:rsidRPr="00311E6F">
        <w:rPr>
          <w:rFonts w:eastAsia="仿宋_GB2312"/>
        </w:rPr>
        <w:t>公证类许可决定书文号改为</w:t>
      </w:r>
      <w:r w:rsidRPr="00311E6F">
        <w:rPr>
          <w:rFonts w:eastAsia="仿宋_GB2312"/>
        </w:rPr>
        <w:t>“</w:t>
      </w:r>
      <w:r w:rsidRPr="00311E6F">
        <w:rPr>
          <w:rFonts w:eastAsia="仿宋_GB2312"/>
        </w:rPr>
        <w:t>津司许公证</w:t>
      </w:r>
      <w:r w:rsidRPr="00311E6F">
        <w:rPr>
          <w:rFonts w:eastAsia="仿宋_GB2312"/>
        </w:rPr>
        <w:t>”</w:t>
      </w:r>
      <w:r w:rsidRPr="00311E6F">
        <w:rPr>
          <w:rFonts w:eastAsia="仿宋_GB2312"/>
        </w:rPr>
        <w:t>；司法鉴定类许可决定书文号改为</w:t>
      </w:r>
      <w:r w:rsidRPr="00311E6F">
        <w:rPr>
          <w:rFonts w:eastAsia="仿宋_GB2312"/>
        </w:rPr>
        <w:t>“</w:t>
      </w:r>
      <w:r w:rsidRPr="00311E6F">
        <w:rPr>
          <w:rFonts w:eastAsia="仿宋_GB2312"/>
        </w:rPr>
        <w:t>津司许鉴定</w:t>
      </w:r>
      <w:r w:rsidRPr="00311E6F">
        <w:rPr>
          <w:rFonts w:eastAsia="仿宋_GB2312"/>
        </w:rPr>
        <w:t>”</w:t>
      </w:r>
      <w:r w:rsidRPr="00311E6F">
        <w:rPr>
          <w:rFonts w:eastAsia="仿宋_GB2312"/>
        </w:rPr>
        <w:t>；律师执业许可决定书、律师事务所及分所设立许可决定书文号为</w:t>
      </w:r>
      <w:r w:rsidRPr="00311E6F">
        <w:rPr>
          <w:rFonts w:eastAsia="仿宋_GB2312"/>
        </w:rPr>
        <w:t>“</w:t>
      </w:r>
      <w:r w:rsidRPr="00311E6F">
        <w:rPr>
          <w:rFonts w:eastAsia="仿宋_GB2312"/>
        </w:rPr>
        <w:t>津司许律</w:t>
      </w:r>
      <w:r w:rsidRPr="00311E6F">
        <w:rPr>
          <w:rFonts w:eastAsia="仿宋_GB2312"/>
        </w:rPr>
        <w:t>”</w:t>
      </w:r>
      <w:r w:rsidRPr="00311E6F">
        <w:rPr>
          <w:rFonts w:eastAsia="仿宋_GB2312"/>
        </w:rPr>
        <w:t>；律师事务所及分所变更、注销类许可决定书文号暂为</w:t>
      </w:r>
      <w:r w:rsidRPr="00311E6F">
        <w:rPr>
          <w:rFonts w:eastAsia="仿宋_GB2312"/>
        </w:rPr>
        <w:t>“</w:t>
      </w:r>
      <w:r w:rsidRPr="00311E6F">
        <w:rPr>
          <w:rFonts w:eastAsia="仿宋_GB2312"/>
        </w:rPr>
        <w:t>津司许可</w:t>
      </w:r>
      <w:r w:rsidRPr="00311E6F">
        <w:rPr>
          <w:rFonts w:eastAsia="仿宋_GB2312"/>
        </w:rPr>
        <w:t>”</w:t>
      </w:r>
      <w:r w:rsidRPr="00311E6F">
        <w:rPr>
          <w:rFonts w:eastAsia="仿宋_GB2312"/>
        </w:rPr>
        <w:t>。</w:t>
      </w:r>
    </w:p>
    <w:p w:rsidR="00552B5E" w:rsidRPr="00311E6F" w:rsidRDefault="00552B5E" w:rsidP="00552B5E">
      <w:pPr>
        <w:ind w:firstLineChars="200" w:firstLine="632"/>
        <w:rPr>
          <w:rFonts w:ascii="黑体" w:eastAsia="黑体" w:hAnsi="黑体" w:hint="eastAsia"/>
        </w:rPr>
      </w:pPr>
      <w:r w:rsidRPr="00311E6F">
        <w:rPr>
          <w:rFonts w:ascii="黑体" w:eastAsia="黑体" w:hAnsi="黑体" w:hint="eastAsia"/>
        </w:rPr>
        <w:t>六、其他需要报告的事项</w:t>
      </w:r>
    </w:p>
    <w:p w:rsidR="00552B5E" w:rsidRPr="00311E6F" w:rsidRDefault="00655C5E" w:rsidP="00552B5E">
      <w:pPr>
        <w:spacing w:line="580" w:lineRule="exact"/>
        <w:ind w:firstLineChars="200" w:firstLine="632"/>
        <w:rPr>
          <w:rFonts w:ascii="仿宋_GB2312" w:eastAsia="仿宋_GB2312" w:hint="eastAsia"/>
        </w:rPr>
      </w:pPr>
      <w:r w:rsidRPr="00457166">
        <w:rPr>
          <w:rFonts w:eastAsia="仿宋_GB2312"/>
        </w:rPr>
        <w:t>2019</w:t>
      </w:r>
      <w:r w:rsidRPr="00457166">
        <w:rPr>
          <w:rFonts w:eastAsia="仿宋_GB2312"/>
        </w:rPr>
        <w:t>年，市司法局共办</w:t>
      </w:r>
      <w:r>
        <w:rPr>
          <w:rFonts w:ascii="仿宋_GB2312" w:eastAsia="仿宋_GB2312" w:hint="eastAsia"/>
        </w:rPr>
        <w:t>理涉及政府信息公开行政诉讼案件4件，其</w:t>
      </w:r>
      <w:r w:rsidRPr="00DE6AC8">
        <w:rPr>
          <w:rFonts w:eastAsia="仿宋_GB2312"/>
        </w:rPr>
        <w:t>中</w:t>
      </w:r>
      <w:r w:rsidR="00DE6AC8" w:rsidRPr="00DE6AC8">
        <w:rPr>
          <w:rFonts w:eastAsia="仿宋_GB2312"/>
        </w:rPr>
        <w:t>3</w:t>
      </w:r>
      <w:r w:rsidRPr="00DE6AC8">
        <w:rPr>
          <w:rFonts w:eastAsia="仿宋_GB2312"/>
        </w:rPr>
        <w:t>件胜诉</w:t>
      </w:r>
      <w:r>
        <w:rPr>
          <w:rFonts w:ascii="仿宋_GB2312" w:eastAsia="仿宋_GB2312" w:hint="eastAsia"/>
        </w:rPr>
        <w:t>，1件因当事人自愿撤诉终止。</w:t>
      </w:r>
    </w:p>
    <w:p w:rsidR="00552B5E" w:rsidRPr="00655C5E" w:rsidRDefault="00552B5E" w:rsidP="00552B5E">
      <w:pPr>
        <w:widowControl/>
        <w:shd w:val="clear" w:color="auto" w:fill="FFFFFF"/>
        <w:ind w:firstLine="480"/>
        <w:rPr>
          <w:rFonts w:eastAsia="仿宋_GB2312" w:hint="eastAsia"/>
        </w:rPr>
      </w:pPr>
      <w:bookmarkStart w:id="0" w:name="_GoBack"/>
      <w:bookmarkEnd w:id="0"/>
    </w:p>
    <w:p w:rsidR="00552B5E" w:rsidRDefault="00552B5E" w:rsidP="00552B5E">
      <w:pPr>
        <w:rPr>
          <w:rFonts w:eastAsia="仿宋_GB2312" w:hint="eastAsia"/>
        </w:rPr>
      </w:pPr>
    </w:p>
    <w:p w:rsidR="00552B5E" w:rsidRDefault="00552B5E" w:rsidP="00552B5E">
      <w:pPr>
        <w:rPr>
          <w:rFonts w:eastAsia="仿宋_GB2312" w:hint="eastAsia"/>
        </w:rPr>
      </w:pPr>
    </w:p>
    <w:p w:rsidR="00552B5E" w:rsidRPr="00AB1ED9" w:rsidRDefault="00552B5E" w:rsidP="00552B5E">
      <w:pPr>
        <w:rPr>
          <w:rFonts w:eastAsia="仿宋_GB2312" w:hint="eastAsia"/>
        </w:rPr>
      </w:pPr>
    </w:p>
    <w:p w:rsidR="00BF5312" w:rsidRPr="00552B5E" w:rsidRDefault="00BF5312"/>
    <w:sectPr w:rsidR="00BF5312" w:rsidRPr="00552B5E" w:rsidSect="00B01A5E">
      <w:pgSz w:w="11906" w:h="16838" w:code="9"/>
      <w:pgMar w:top="2098" w:right="1531" w:bottom="1985" w:left="1531" w:header="851" w:footer="992" w:gutter="0"/>
      <w:cols w:space="425"/>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5E"/>
    <w:rsid w:val="00100D80"/>
    <w:rsid w:val="001A5CA8"/>
    <w:rsid w:val="0028253A"/>
    <w:rsid w:val="00457166"/>
    <w:rsid w:val="00465F62"/>
    <w:rsid w:val="00486FE1"/>
    <w:rsid w:val="00552B5E"/>
    <w:rsid w:val="00655C5E"/>
    <w:rsid w:val="007606A9"/>
    <w:rsid w:val="00775691"/>
    <w:rsid w:val="007C64D0"/>
    <w:rsid w:val="007F1036"/>
    <w:rsid w:val="008D2C90"/>
    <w:rsid w:val="008F36FC"/>
    <w:rsid w:val="00910DB6"/>
    <w:rsid w:val="00940C3E"/>
    <w:rsid w:val="00AD4C7E"/>
    <w:rsid w:val="00B7273A"/>
    <w:rsid w:val="00BF5312"/>
    <w:rsid w:val="00CF3314"/>
    <w:rsid w:val="00D4021D"/>
    <w:rsid w:val="00DE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5E"/>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E6AC8"/>
    <w:rPr>
      <w:sz w:val="18"/>
      <w:szCs w:val="18"/>
    </w:rPr>
  </w:style>
  <w:style w:type="character" w:customStyle="1" w:styleId="Char">
    <w:name w:val="批注框文本 Char"/>
    <w:basedOn w:val="a0"/>
    <w:link w:val="a3"/>
    <w:uiPriority w:val="99"/>
    <w:semiHidden/>
    <w:rsid w:val="00DE6AC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5E"/>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E6AC8"/>
    <w:rPr>
      <w:sz w:val="18"/>
      <w:szCs w:val="18"/>
    </w:rPr>
  </w:style>
  <w:style w:type="character" w:customStyle="1" w:styleId="Char">
    <w:name w:val="批注框文本 Char"/>
    <w:basedOn w:val="a0"/>
    <w:link w:val="a3"/>
    <w:uiPriority w:val="99"/>
    <w:semiHidden/>
    <w:rsid w:val="00DE6AC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402</Words>
  <Characters>2294</Characters>
  <Application>Microsoft Office Word</Application>
  <DocSecurity>0</DocSecurity>
  <Lines>19</Lines>
  <Paragraphs>5</Paragraphs>
  <ScaleCrop>false</ScaleCrop>
  <Company>Microsoft</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王金良</dc:creator>
  <cp:lastModifiedBy>王金良</cp:lastModifiedBy>
  <cp:revision>3</cp:revision>
  <cp:lastPrinted>2020-01-28T03:29:00Z</cp:lastPrinted>
  <dcterms:created xsi:type="dcterms:W3CDTF">2020-01-28T02:28:00Z</dcterms:created>
  <dcterms:modified xsi:type="dcterms:W3CDTF">2020-01-28T03:31:00Z</dcterms:modified>
</cp:coreProperties>
</file>