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A7" w:rsidRDefault="00D875A7" w:rsidP="0003200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</w:p>
    <w:p w:rsidR="00D875A7" w:rsidRDefault="00D875A7" w:rsidP="0003200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</w:p>
    <w:p w:rsidR="00032005" w:rsidRDefault="00032005" w:rsidP="0003200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  <w:r w:rsidRPr="00032005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天津市民族和宗教事务委员会</w:t>
      </w:r>
    </w:p>
    <w:p w:rsidR="00BE6708" w:rsidRPr="00BE6708" w:rsidRDefault="00032005" w:rsidP="0003200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032005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9</w:t>
      </w:r>
      <w:r w:rsidRPr="00032005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年政府信息公开年度报告</w:t>
      </w:r>
    </w:p>
    <w:p w:rsidR="00BE6708" w:rsidRPr="00BE6708" w:rsidRDefault="00BE6708" w:rsidP="00032005">
      <w:pPr>
        <w:widowControl/>
        <w:shd w:val="clear" w:color="auto" w:fill="FFFFFF"/>
        <w:spacing w:line="560" w:lineRule="exact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71BA9" w:rsidRPr="00660EA3" w:rsidRDefault="006A2F9C" w:rsidP="006A2F9C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60EA3">
        <w:rPr>
          <w:rFonts w:ascii="仿宋_GB2312" w:eastAsia="仿宋_GB2312" w:hAnsi="宋体" w:cs="宋体" w:hint="eastAsia"/>
          <w:kern w:val="0"/>
          <w:sz w:val="32"/>
          <w:szCs w:val="32"/>
        </w:rPr>
        <w:t>本年度报告根据《中华人民共和国政府信息公开条例》和《天津市政府信息公开规定》编制</w:t>
      </w:r>
      <w:r w:rsidR="00B71BA9" w:rsidRPr="00660EA3">
        <w:rPr>
          <w:rFonts w:ascii="仿宋_GB2312" w:eastAsia="仿宋_GB2312" w:hAnsi="宋体" w:cs="宋体" w:hint="eastAsia"/>
          <w:kern w:val="0"/>
          <w:sz w:val="32"/>
          <w:szCs w:val="32"/>
        </w:rPr>
        <w:t>，包括总体情况、主动公开政府信息情况、收到和处理政府信息公开申请情况、政府信息公开行政复议及行政诉讼情况、存在的主要问题及改进情况、其他需要报告的事项六</w:t>
      </w:r>
      <w:r w:rsidRPr="00660EA3">
        <w:rPr>
          <w:rFonts w:ascii="仿宋_GB2312" w:eastAsia="仿宋_GB2312" w:hAnsi="宋体" w:cs="宋体" w:hint="eastAsia"/>
          <w:kern w:val="0"/>
          <w:sz w:val="32"/>
          <w:szCs w:val="32"/>
        </w:rPr>
        <w:t>部分组成。</w:t>
      </w:r>
      <w:r w:rsidR="00B71BA9" w:rsidRPr="00660EA3">
        <w:rPr>
          <w:rFonts w:ascii="仿宋_GB2312" w:eastAsia="仿宋_GB2312" w:hAnsi="宋体" w:cs="宋体" w:hint="eastAsia"/>
          <w:kern w:val="0"/>
          <w:sz w:val="32"/>
          <w:szCs w:val="32"/>
        </w:rPr>
        <w:t>本年度报告中所列数据的统计期限为2019年1月1日至12月31日。</w:t>
      </w:r>
    </w:p>
    <w:p w:rsidR="00BE6708" w:rsidRPr="00032005" w:rsidRDefault="00BE6708" w:rsidP="00032005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32005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一、总体情况</w:t>
      </w:r>
    </w:p>
    <w:p w:rsidR="00C02C17" w:rsidRPr="00C02C17" w:rsidRDefault="00C02C17" w:rsidP="00C64ACB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2019年</w:t>
      </w:r>
      <w:r w:rsidR="00E2462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="00E2462F" w:rsidRPr="00E2462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市民族</w:t>
      </w:r>
      <w:proofErr w:type="gramStart"/>
      <w:r w:rsidR="00E2462F" w:rsidRPr="00E2462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宗教委</w:t>
      </w:r>
      <w:proofErr w:type="gramEnd"/>
      <w:r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坚持以</w:t>
      </w:r>
      <w:r w:rsidR="00B767C2" w:rsidRPr="00B767C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习近平新时代中国特色社会主义思想和党的十九大精神</w:t>
      </w:r>
      <w:r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为指导，</w:t>
      </w:r>
      <w:r w:rsidR="00B767C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认真贯彻落实新修订的《</w:t>
      </w:r>
      <w:r w:rsidR="00B767C2" w:rsidRPr="00B767C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政府信息公开条例</w:t>
      </w:r>
      <w:r w:rsidR="00B767C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》，按照</w:t>
      </w:r>
      <w:r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《2019年天津市政务公开工作要点》要求，</w:t>
      </w:r>
      <w:r w:rsidR="00864C61" w:rsidRPr="00864C6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紧紧围绕</w:t>
      </w:r>
      <w:r w:rsidR="00864C6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民族宗教</w:t>
      </w:r>
      <w:r w:rsidR="00383ED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领域重要</w:t>
      </w:r>
      <w:r w:rsidR="00864C61" w:rsidRPr="00864C6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工作及群众关注关切</w:t>
      </w:r>
      <w:r w:rsidR="00383ED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的问题</w:t>
      </w:r>
      <w:r w:rsidR="00864C61" w:rsidRPr="00864C6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="00B767C2"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以公开为常态、不公开为例外，</w:t>
      </w:r>
      <w:r w:rsidR="00B767C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着力</w:t>
      </w:r>
      <w:r w:rsidR="00280C18" w:rsidRPr="00280C1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拓展公开的广度和深度，</w:t>
      </w:r>
      <w:r w:rsidR="00280C18"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提升公开的质量和实效</w:t>
      </w:r>
      <w:r w:rsidR="00280C18" w:rsidRPr="00280C1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="00280C18"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加强政策解读和舆情回应，</w:t>
      </w:r>
      <w:r w:rsidR="00864C61" w:rsidRPr="00864C6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以公开强监督、促落实、优服务，不断增强人民群众满意度、获得感，</w:t>
      </w:r>
      <w:r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</w:t>
      </w:r>
      <w:r w:rsidR="00383ED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服务全市中心工作、维护</w:t>
      </w:r>
      <w:r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社会</w:t>
      </w:r>
      <w:r w:rsidR="00383ED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和谐</w:t>
      </w:r>
      <w:r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稳定发挥</w:t>
      </w:r>
      <w:r w:rsidR="00BB554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了</w:t>
      </w:r>
      <w:r w:rsidRPr="00C02C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积极作用。</w:t>
      </w:r>
    </w:p>
    <w:p w:rsidR="00CC7952" w:rsidRPr="00CC7952" w:rsidRDefault="00CC7952" w:rsidP="00CC7952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宋体" w:cs="宋体"/>
          <w:color w:val="333333"/>
          <w:kern w:val="0"/>
          <w:sz w:val="32"/>
          <w:szCs w:val="32"/>
        </w:rPr>
      </w:pPr>
      <w:r w:rsidRPr="00CC7952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（一）加强组织领导</w:t>
      </w:r>
    </w:p>
    <w:p w:rsidR="008E2237" w:rsidRPr="00E850CD" w:rsidRDefault="00BE6876" w:rsidP="00CC7952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="008B365C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机构改革调整</w:t>
      </w:r>
      <w:r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和人员变动情况，及时调整我</w:t>
      </w:r>
      <w:r w:rsidR="00D60AA1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委</w:t>
      </w:r>
      <w:r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政务公开</w:t>
      </w:r>
      <w:r w:rsidR="00D60AA1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领导小组及办公室成员，</w:t>
      </w:r>
      <w:r w:rsidR="0079292F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建立委主要负责人亲自抓，分管负责人具体抓，各处</w:t>
      </w:r>
      <w:r w:rsidR="003E1A40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室各负其责</w:t>
      </w:r>
      <w:r w:rsidR="0079292F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3E1A40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工作机制</w:t>
      </w:r>
      <w:r w:rsidR="0079292F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483959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制定并公开《2019年</w:t>
      </w:r>
      <w:r w:rsidR="00483959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市民族宗教委政务公开工作要点》</w:t>
      </w:r>
      <w:r w:rsidR="004A075B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483959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进一步明确全年</w:t>
      </w:r>
      <w:r w:rsidR="00813EC4" w:rsidRPr="00813EC4">
        <w:rPr>
          <w:rFonts w:ascii="仿宋_GB2312" w:eastAsia="仿宋_GB2312" w:hAnsi="宋体" w:cs="宋体" w:hint="eastAsia"/>
          <w:kern w:val="0"/>
          <w:sz w:val="32"/>
          <w:szCs w:val="32"/>
        </w:rPr>
        <w:t>政务</w:t>
      </w:r>
      <w:r w:rsidR="00483959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公开任务、内容及要求，细化</w:t>
      </w:r>
      <w:r w:rsidR="004A075B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职责</w:t>
      </w:r>
      <w:r w:rsidR="00483959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分工，</w:t>
      </w:r>
      <w:r w:rsidR="004A075B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强化责任落实</w:t>
      </w:r>
      <w:r w:rsidR="00483959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，确保</w:t>
      </w:r>
      <w:r w:rsidR="00813EC4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政务公开</w:t>
      </w:r>
      <w:r w:rsidR="00483959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工作落地落实。</w:t>
      </w:r>
      <w:r w:rsidR="00E850CD" w:rsidRPr="0079292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组织</w:t>
      </w:r>
      <w:r w:rsidR="00E850C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开展</w:t>
      </w:r>
      <w:r w:rsidR="00F445B1" w:rsidRPr="00F445B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政府信息公开</w:t>
      </w:r>
      <w:r w:rsidR="00E850CD" w:rsidRPr="0079292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专题培训</w:t>
      </w:r>
      <w:r w:rsidR="00E850C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，重点</w:t>
      </w:r>
      <w:r w:rsidR="00E850CD" w:rsidRPr="008E223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突出</w:t>
      </w:r>
      <w:r w:rsidR="00D0357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新修订</w:t>
      </w:r>
      <w:r w:rsidR="00E850CD" w:rsidRPr="008E223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《</w:t>
      </w:r>
      <w:r w:rsidR="00E850CD" w:rsidRPr="00660EA3">
        <w:rPr>
          <w:rFonts w:ascii="仿宋_GB2312" w:eastAsia="仿宋_GB2312" w:hAnsi="宋体" w:cs="宋体" w:hint="eastAsia"/>
          <w:kern w:val="0"/>
          <w:sz w:val="32"/>
          <w:szCs w:val="32"/>
        </w:rPr>
        <w:t>政府信息公开条例</w:t>
      </w:r>
      <w:r w:rsidR="00E850CD" w:rsidRPr="008E223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》</w:t>
      </w:r>
      <w:r w:rsidR="00E850C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的学习解读，</w:t>
      </w:r>
      <w:r w:rsidR="00E850CD">
        <w:rPr>
          <w:rFonts w:ascii="仿宋_GB2312" w:eastAsia="仿宋_GB2312" w:hint="eastAsia"/>
          <w:color w:val="3D3D3D"/>
          <w:sz w:val="32"/>
          <w:szCs w:val="32"/>
        </w:rPr>
        <w:t>进一步</w:t>
      </w:r>
      <w:r w:rsidR="00E850CD" w:rsidRPr="008E223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强化</w:t>
      </w:r>
      <w:r w:rsidR="00934225" w:rsidRPr="00F445B1">
        <w:rPr>
          <w:rFonts w:ascii="仿宋_GB2312" w:eastAsia="仿宋_GB2312" w:hint="eastAsia"/>
          <w:color w:val="3D3D3D"/>
          <w:sz w:val="32"/>
          <w:szCs w:val="32"/>
        </w:rPr>
        <w:t>政府信息</w:t>
      </w:r>
      <w:r w:rsidR="00D03573">
        <w:rPr>
          <w:rFonts w:ascii="仿宋_GB2312" w:eastAsia="仿宋_GB2312" w:hint="eastAsia"/>
          <w:color w:val="3D3D3D"/>
          <w:sz w:val="32"/>
          <w:szCs w:val="32"/>
        </w:rPr>
        <w:t>主动</w:t>
      </w:r>
      <w:r w:rsidR="00D03573" w:rsidRPr="00E850C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公开</w:t>
      </w:r>
      <w:r w:rsidR="00E850CD" w:rsidRPr="008E223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意识，</w:t>
      </w:r>
      <w:r w:rsidR="00E850CD">
        <w:rPr>
          <w:rFonts w:ascii="仿宋_GB2312" w:eastAsia="仿宋_GB2312" w:hint="eastAsia"/>
          <w:color w:val="3D3D3D"/>
          <w:sz w:val="32"/>
          <w:szCs w:val="32"/>
        </w:rPr>
        <w:t>提升</w:t>
      </w:r>
      <w:r w:rsidR="00F445B1" w:rsidRPr="00F445B1">
        <w:rPr>
          <w:rFonts w:ascii="仿宋_GB2312" w:eastAsia="仿宋_GB2312" w:hint="eastAsia"/>
          <w:color w:val="3D3D3D"/>
          <w:sz w:val="32"/>
          <w:szCs w:val="32"/>
        </w:rPr>
        <w:t>公开</w:t>
      </w:r>
      <w:r w:rsidR="00E850CD">
        <w:rPr>
          <w:rFonts w:ascii="仿宋_GB2312" w:eastAsia="仿宋_GB2312" w:hint="eastAsia"/>
          <w:color w:val="3D3D3D"/>
          <w:sz w:val="32"/>
          <w:szCs w:val="32"/>
        </w:rPr>
        <w:t>自觉性。</w:t>
      </w:r>
      <w:r w:rsidR="00F445B1" w:rsidRPr="007C605C">
        <w:rPr>
          <w:rFonts w:ascii="仿宋_GB2312" w:eastAsia="仿宋_GB2312" w:hint="eastAsia"/>
          <w:sz w:val="32"/>
          <w:szCs w:val="32"/>
        </w:rPr>
        <w:t>先后两次就政府信息公开工作印发通知，</w:t>
      </w:r>
      <w:r w:rsidR="00BB00C0">
        <w:rPr>
          <w:rFonts w:ascii="仿宋_GB2312" w:eastAsia="仿宋_GB2312" w:hAnsi="宋体" w:cs="宋体" w:hint="eastAsia"/>
          <w:kern w:val="0"/>
          <w:sz w:val="32"/>
          <w:szCs w:val="32"/>
        </w:rPr>
        <w:t>着力</w:t>
      </w:r>
      <w:r w:rsidR="007C605C" w:rsidRPr="007C605C">
        <w:rPr>
          <w:rFonts w:ascii="仿宋_GB2312" w:eastAsia="仿宋_GB2312" w:hAnsi="宋体" w:cs="宋体" w:hint="eastAsia"/>
          <w:kern w:val="0"/>
          <w:sz w:val="32"/>
          <w:szCs w:val="32"/>
        </w:rPr>
        <w:t>推动</w:t>
      </w:r>
      <w:r w:rsidR="00E850CD" w:rsidRPr="007C605C">
        <w:rPr>
          <w:rFonts w:ascii="仿宋_GB2312" w:eastAsia="仿宋_GB2312" w:hAnsi="宋体" w:cs="宋体" w:hint="eastAsia"/>
          <w:kern w:val="0"/>
          <w:sz w:val="32"/>
          <w:szCs w:val="32"/>
        </w:rPr>
        <w:t>各处</w:t>
      </w:r>
      <w:proofErr w:type="gramStart"/>
      <w:r w:rsidR="00E850CD" w:rsidRPr="007C605C">
        <w:rPr>
          <w:rFonts w:ascii="仿宋_GB2312" w:eastAsia="仿宋_GB2312" w:hAnsi="宋体" w:cs="宋体" w:hint="eastAsia"/>
          <w:kern w:val="0"/>
          <w:sz w:val="32"/>
          <w:szCs w:val="32"/>
        </w:rPr>
        <w:t>室</w:t>
      </w:r>
      <w:r w:rsidR="0031326F">
        <w:rPr>
          <w:rFonts w:ascii="仿宋_GB2312" w:eastAsia="仿宋_GB2312" w:hAnsi="宋体" w:cs="宋体" w:hint="eastAsia"/>
          <w:kern w:val="0"/>
          <w:sz w:val="32"/>
          <w:szCs w:val="32"/>
        </w:rPr>
        <w:t>抓</w:t>
      </w:r>
      <w:r w:rsidR="000B463E">
        <w:rPr>
          <w:rFonts w:ascii="仿宋_GB2312" w:eastAsia="仿宋_GB2312" w:hAnsi="宋体" w:cs="宋体" w:hint="eastAsia"/>
          <w:kern w:val="0"/>
          <w:sz w:val="32"/>
          <w:szCs w:val="32"/>
        </w:rPr>
        <w:t>好</w:t>
      </w:r>
      <w:proofErr w:type="gramEnd"/>
      <w:r w:rsidR="007C605C" w:rsidRPr="007C605C">
        <w:rPr>
          <w:rFonts w:ascii="仿宋_GB2312" w:eastAsia="仿宋_GB2312" w:hAnsi="宋体" w:cs="宋体" w:hint="eastAsia"/>
          <w:kern w:val="0"/>
          <w:sz w:val="32"/>
          <w:szCs w:val="32"/>
        </w:rPr>
        <w:t>政府信息</w:t>
      </w:r>
      <w:r w:rsidR="00E850CD" w:rsidRPr="007C605C">
        <w:rPr>
          <w:rFonts w:ascii="仿宋_GB2312" w:eastAsia="仿宋_GB2312" w:hAnsi="宋体" w:cs="宋体" w:hint="eastAsia"/>
          <w:kern w:val="0"/>
          <w:sz w:val="32"/>
          <w:szCs w:val="32"/>
        </w:rPr>
        <w:t>公开工作</w:t>
      </w:r>
      <w:r w:rsidR="00BB00C0">
        <w:rPr>
          <w:rFonts w:ascii="仿宋_GB2312" w:eastAsia="仿宋_GB2312" w:hAnsi="宋体" w:cs="宋体" w:hint="eastAsia"/>
          <w:kern w:val="0"/>
          <w:sz w:val="32"/>
          <w:szCs w:val="32"/>
        </w:rPr>
        <w:t>贯彻</w:t>
      </w:r>
      <w:r w:rsidR="0031326F">
        <w:rPr>
          <w:rFonts w:ascii="仿宋_GB2312" w:eastAsia="仿宋_GB2312" w:hAnsi="宋体" w:cs="宋体" w:hint="eastAsia"/>
          <w:kern w:val="0"/>
          <w:sz w:val="32"/>
          <w:szCs w:val="32"/>
        </w:rPr>
        <w:t>落实</w:t>
      </w:r>
      <w:r w:rsidR="00E850CD" w:rsidRPr="007C605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E2237" w:rsidRPr="00F727B7" w:rsidRDefault="00F727B7" w:rsidP="00F727B7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宋体" w:cs="宋体"/>
          <w:color w:val="333333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（二）</w:t>
      </w:r>
      <w:r w:rsidR="00431821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加强</w:t>
      </w:r>
      <w:r w:rsidRPr="00F727B7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制度规范</w:t>
      </w:r>
    </w:p>
    <w:p w:rsidR="002D49A3" w:rsidRPr="004A075B" w:rsidRDefault="009331AC" w:rsidP="008E223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8776D2">
        <w:rPr>
          <w:rFonts w:ascii="仿宋_GB2312" w:eastAsia="仿宋_GB2312" w:hAnsi="宋体" w:cs="宋体" w:hint="eastAsia"/>
          <w:kern w:val="0"/>
          <w:sz w:val="32"/>
          <w:szCs w:val="32"/>
        </w:rPr>
        <w:t>修订完善《</w:t>
      </w:r>
      <w:r w:rsidR="001F6B12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市民族宗教委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政务公开实施办法</w:t>
      </w:r>
      <w:r w:rsidRPr="008776D2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1F6B1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严格将“五公开”落实</w:t>
      </w:r>
      <w:r w:rsidR="004068AA">
        <w:rPr>
          <w:rFonts w:ascii="仿宋_GB2312" w:eastAsia="仿宋_GB2312" w:hAnsi="宋体" w:cs="宋体" w:hint="eastAsia"/>
          <w:kern w:val="0"/>
          <w:sz w:val="32"/>
          <w:szCs w:val="32"/>
        </w:rPr>
        <w:t>到</w:t>
      </w:r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公文办理程序</w:t>
      </w:r>
      <w:r w:rsidR="004068AA"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，拟文部门在报批公文时，确定该公文是否公开一并报领导审批，</w:t>
      </w:r>
      <w:r w:rsidR="004068AA">
        <w:rPr>
          <w:rFonts w:ascii="仿宋_GB2312" w:eastAsia="仿宋_GB2312" w:hAnsi="宋体" w:cs="宋体" w:hint="eastAsia"/>
          <w:kern w:val="0"/>
          <w:sz w:val="32"/>
          <w:szCs w:val="32"/>
        </w:rPr>
        <w:t>对拟公开的</w:t>
      </w:r>
      <w:proofErr w:type="gramStart"/>
      <w:r w:rsidR="004068AA">
        <w:rPr>
          <w:rFonts w:ascii="仿宋_GB2312" w:eastAsia="仿宋_GB2312" w:hAnsi="宋体" w:cs="宋体" w:hint="eastAsia"/>
          <w:kern w:val="0"/>
          <w:sz w:val="32"/>
          <w:szCs w:val="32"/>
        </w:rPr>
        <w:t>公文</w:t>
      </w:r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proofErr w:type="gramEnd"/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一时间在政府网站</w:t>
      </w:r>
      <w:r w:rsidR="00E02A46">
        <w:rPr>
          <w:rFonts w:ascii="仿宋_GB2312" w:eastAsia="仿宋_GB2312" w:hAnsi="宋体" w:cs="宋体" w:hint="eastAsia"/>
          <w:kern w:val="0"/>
          <w:sz w:val="32"/>
          <w:szCs w:val="32"/>
        </w:rPr>
        <w:t>主动</w:t>
      </w:r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公开</w:t>
      </w:r>
      <w:r w:rsidR="007A3D8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严格将政策解读要求落实到公文办理程序</w:t>
      </w:r>
      <w:r w:rsidR="004068AA"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4068AA">
        <w:rPr>
          <w:rFonts w:ascii="仿宋_GB2312" w:eastAsia="仿宋_GB2312" w:hAnsi="宋体" w:cs="宋体" w:hint="eastAsia"/>
          <w:kern w:val="0"/>
          <w:sz w:val="32"/>
          <w:szCs w:val="32"/>
        </w:rPr>
        <w:t>强调起草</w:t>
      </w:r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规范性文件</w:t>
      </w:r>
      <w:r w:rsidR="004068AA">
        <w:rPr>
          <w:rFonts w:ascii="仿宋_GB2312" w:eastAsia="仿宋_GB2312" w:hAnsi="宋体" w:cs="宋体" w:hint="eastAsia"/>
          <w:kern w:val="0"/>
          <w:sz w:val="32"/>
          <w:szCs w:val="32"/>
        </w:rPr>
        <w:t>时</w:t>
      </w:r>
      <w:r w:rsidR="000E5807" w:rsidRPr="000E5807">
        <w:rPr>
          <w:rFonts w:ascii="仿宋_GB2312" w:eastAsia="仿宋_GB2312" w:hAnsi="宋体" w:cs="宋体" w:hint="eastAsia"/>
          <w:kern w:val="0"/>
          <w:sz w:val="32"/>
          <w:szCs w:val="32"/>
        </w:rPr>
        <w:t>同步提供政策解读素材并统一备案上报</w:t>
      </w:r>
      <w:r w:rsidR="001F6B1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8776D2" w:rsidRPr="008776D2">
        <w:rPr>
          <w:rFonts w:ascii="仿宋_GB2312" w:eastAsia="仿宋_GB2312" w:hAnsi="宋体" w:cs="宋体" w:hint="eastAsia"/>
          <w:kern w:val="0"/>
          <w:sz w:val="32"/>
          <w:szCs w:val="32"/>
        </w:rPr>
        <w:t>修订完善《</w:t>
      </w:r>
      <w:r w:rsidR="001F6B12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市民族宗教委</w:t>
      </w:r>
      <w:r w:rsidR="008776D2" w:rsidRPr="008776D2">
        <w:rPr>
          <w:rFonts w:ascii="仿宋_GB2312" w:eastAsia="仿宋_GB2312" w:hAnsi="宋体" w:cs="宋体" w:hint="eastAsia"/>
          <w:kern w:val="0"/>
          <w:sz w:val="32"/>
          <w:szCs w:val="32"/>
        </w:rPr>
        <w:t>政府信息公开指南》《</w:t>
      </w:r>
      <w:r w:rsidR="001F6B12" w:rsidRPr="004A075B">
        <w:rPr>
          <w:rFonts w:ascii="仿宋_GB2312" w:eastAsia="仿宋_GB2312" w:hAnsi="宋体" w:cs="宋体" w:hint="eastAsia"/>
          <w:kern w:val="0"/>
          <w:sz w:val="32"/>
          <w:szCs w:val="32"/>
        </w:rPr>
        <w:t>市民族宗教委</w:t>
      </w:r>
      <w:r w:rsidR="001F6B12" w:rsidRPr="008776D2">
        <w:rPr>
          <w:rFonts w:ascii="仿宋_GB2312" w:eastAsia="仿宋_GB2312" w:hAnsi="宋体" w:cs="宋体" w:hint="eastAsia"/>
          <w:kern w:val="0"/>
          <w:sz w:val="32"/>
          <w:szCs w:val="32"/>
        </w:rPr>
        <w:t>政府信息公开</w:t>
      </w:r>
      <w:r w:rsidR="008776D2" w:rsidRPr="008776D2">
        <w:rPr>
          <w:rFonts w:ascii="仿宋_GB2312" w:eastAsia="仿宋_GB2312" w:hAnsi="宋体" w:cs="宋体" w:hint="eastAsia"/>
          <w:kern w:val="0"/>
          <w:sz w:val="32"/>
          <w:szCs w:val="32"/>
        </w:rPr>
        <w:t>工作规程》，进一步明确政府信息公开的原则、范围、流程、时限等内容，为实现政府信息公开工作规范化管理提供制度保障。</w:t>
      </w:r>
    </w:p>
    <w:p w:rsidR="00011682" w:rsidRDefault="00011682" w:rsidP="00011682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宋体" w:cs="宋体"/>
          <w:color w:val="333333"/>
          <w:kern w:val="0"/>
          <w:sz w:val="32"/>
          <w:szCs w:val="32"/>
        </w:rPr>
      </w:pPr>
      <w:r w:rsidRPr="00011682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（三）加强解读</w:t>
      </w:r>
      <w:r w:rsidR="001538F6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回应</w:t>
      </w:r>
    </w:p>
    <w:p w:rsidR="00011682" w:rsidRDefault="006B0A2C" w:rsidP="00F36FF3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进一步扩大政策解读公开渠道，</w:t>
      </w:r>
      <w:r w:rsidR="00F36FF3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加强政策解读实效，</w:t>
      </w:r>
      <w:r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在委门户网站开设政策解读类专栏，</w:t>
      </w:r>
      <w:r w:rsidR="00CD1574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利用问答、图解等形式对10</w:t>
      </w:r>
      <w:r w:rsidR="00F36FF3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 w:rsidR="00CD1574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政策</w:t>
      </w:r>
      <w:r w:rsidR="00F36FF3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法规</w:t>
      </w:r>
      <w:r w:rsidR="00CD1574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进行了详细解读</w:t>
      </w:r>
      <w:r w:rsidR="004C6DF9">
        <w:rPr>
          <w:rFonts w:ascii="仿宋_GB2312" w:eastAsia="仿宋_GB2312" w:hAnsi="宋体" w:cs="宋体" w:hint="eastAsia"/>
          <w:kern w:val="0"/>
          <w:sz w:val="32"/>
          <w:szCs w:val="32"/>
        </w:rPr>
        <w:t>，并与</w:t>
      </w:r>
      <w:r w:rsidR="004C6DF9" w:rsidRPr="004C6DF9">
        <w:rPr>
          <w:rFonts w:ascii="仿宋_GB2312" w:eastAsia="仿宋_GB2312" w:hAnsi="宋体" w:cs="宋体" w:hint="eastAsia"/>
          <w:kern w:val="0"/>
          <w:sz w:val="32"/>
          <w:szCs w:val="32"/>
        </w:rPr>
        <w:t>被解读政策文件相关联</w:t>
      </w:r>
      <w:r w:rsidR="009177F5">
        <w:rPr>
          <w:rFonts w:ascii="仿宋_GB2312" w:eastAsia="仿宋_GB2312" w:hAnsi="宋体" w:cs="宋体" w:hint="eastAsia"/>
          <w:kern w:val="0"/>
          <w:sz w:val="32"/>
          <w:szCs w:val="32"/>
        </w:rPr>
        <w:t>，方便</w:t>
      </w:r>
      <w:r w:rsidR="00A744AD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群</w:t>
      </w:r>
      <w:r w:rsidR="0061251A">
        <w:rPr>
          <w:rFonts w:ascii="仿宋_GB2312" w:eastAsia="仿宋_GB2312" w:hAnsi="宋体" w:cs="宋体" w:hint="eastAsia"/>
          <w:kern w:val="0"/>
          <w:sz w:val="32"/>
          <w:szCs w:val="32"/>
        </w:rPr>
        <w:t>众</w:t>
      </w:r>
      <w:r w:rsidR="009177F5">
        <w:rPr>
          <w:rFonts w:ascii="仿宋_GB2312" w:eastAsia="仿宋_GB2312" w:hAnsi="宋体" w:cs="宋体" w:hint="eastAsia"/>
          <w:kern w:val="0"/>
          <w:sz w:val="32"/>
          <w:szCs w:val="32"/>
        </w:rPr>
        <w:t>查阅</w:t>
      </w:r>
      <w:r w:rsidR="00E739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F36FF3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充分发挥</w:t>
      </w:r>
      <w:proofErr w:type="gramStart"/>
      <w:r w:rsidR="00CD1574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政民零</w:t>
      </w:r>
      <w:proofErr w:type="gramEnd"/>
      <w:r w:rsidR="00CD1574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距离、热线电话</w:t>
      </w:r>
      <w:r w:rsidR="00E16170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proofErr w:type="gramStart"/>
      <w:r w:rsidR="00E16170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微信公众号</w:t>
      </w:r>
      <w:proofErr w:type="gramEnd"/>
      <w:r w:rsidR="00CD1574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等方式，</w:t>
      </w:r>
      <w:r w:rsidR="00F36FF3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及时回应群众关切和社会热点，主动引导释疑，推动解决实际问题，赢得</w:t>
      </w:r>
      <w:r w:rsidR="003C07EF">
        <w:rPr>
          <w:rFonts w:ascii="仿宋_GB2312" w:eastAsia="仿宋_GB2312" w:hAnsi="宋体" w:cs="宋体" w:hint="eastAsia"/>
          <w:kern w:val="0"/>
          <w:sz w:val="32"/>
          <w:szCs w:val="32"/>
        </w:rPr>
        <w:t>了</w:t>
      </w:r>
      <w:r w:rsidR="00F36FF3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群众理解和支持</w:t>
      </w:r>
      <w:r w:rsidR="00E739E2">
        <w:rPr>
          <w:rFonts w:ascii="仿宋_GB2312" w:eastAsia="仿宋_GB2312" w:hAnsi="宋体" w:cs="宋体" w:hint="eastAsia"/>
          <w:kern w:val="0"/>
          <w:sz w:val="32"/>
          <w:szCs w:val="32"/>
        </w:rPr>
        <w:t>。2019年</w:t>
      </w:r>
      <w:r w:rsidR="00370A5E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F19ED" w:rsidRPr="000F19ED">
        <w:rPr>
          <w:rFonts w:ascii="仿宋_GB2312" w:eastAsia="仿宋_GB2312" w:hAnsi="宋体" w:cs="宋体" w:hint="eastAsia"/>
          <w:kern w:val="0"/>
          <w:sz w:val="32"/>
          <w:szCs w:val="32"/>
        </w:rPr>
        <w:t>《政民零距离》栏目共</w:t>
      </w:r>
      <w:r w:rsidR="00E739E2">
        <w:rPr>
          <w:rFonts w:ascii="仿宋_GB2312" w:eastAsia="仿宋_GB2312" w:hAnsi="宋体" w:cs="宋体" w:hint="eastAsia"/>
          <w:kern w:val="0"/>
          <w:sz w:val="32"/>
          <w:szCs w:val="32"/>
        </w:rPr>
        <w:t>答复</w:t>
      </w:r>
      <w:r w:rsidR="000F19ED" w:rsidRPr="000F19ED">
        <w:rPr>
          <w:rFonts w:ascii="仿宋_GB2312" w:eastAsia="仿宋_GB2312" w:hAnsi="宋体" w:cs="宋体" w:hint="eastAsia"/>
          <w:kern w:val="0"/>
          <w:sz w:val="32"/>
          <w:szCs w:val="32"/>
        </w:rPr>
        <w:t>网</w:t>
      </w:r>
      <w:r w:rsidR="000F19ED" w:rsidRPr="000F19E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民留言</w:t>
      </w:r>
      <w:r w:rsidR="00E739E2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 w:rsidR="000F19ED" w:rsidRPr="000F19ED">
        <w:rPr>
          <w:rFonts w:ascii="仿宋_GB2312" w:eastAsia="仿宋_GB2312" w:hAnsi="宋体" w:cs="宋体" w:hint="eastAsia"/>
          <w:kern w:val="0"/>
          <w:sz w:val="32"/>
          <w:szCs w:val="32"/>
        </w:rPr>
        <w:t>条，</w:t>
      </w:r>
      <w:r w:rsidR="00E739E2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热线电话</w:t>
      </w:r>
      <w:r w:rsidR="00E739E2">
        <w:rPr>
          <w:rFonts w:ascii="仿宋_GB2312" w:eastAsia="仿宋_GB2312" w:hAnsi="宋体" w:cs="宋体" w:hint="eastAsia"/>
          <w:kern w:val="0"/>
          <w:sz w:val="32"/>
          <w:szCs w:val="32"/>
        </w:rPr>
        <w:t>答复群众</w:t>
      </w:r>
      <w:r w:rsidR="00AE41E5">
        <w:rPr>
          <w:rFonts w:ascii="仿宋_GB2312" w:eastAsia="仿宋_GB2312" w:hAnsi="宋体" w:cs="宋体" w:hint="eastAsia"/>
          <w:kern w:val="0"/>
          <w:sz w:val="32"/>
          <w:szCs w:val="32"/>
        </w:rPr>
        <w:t>咨询</w:t>
      </w:r>
      <w:r w:rsidR="00E16170">
        <w:rPr>
          <w:rFonts w:ascii="仿宋_GB2312" w:eastAsia="仿宋_GB2312" w:hAnsi="宋体" w:cs="宋体" w:hint="eastAsia"/>
          <w:kern w:val="0"/>
          <w:sz w:val="32"/>
          <w:szCs w:val="32"/>
        </w:rPr>
        <w:t>100余</w:t>
      </w:r>
      <w:r w:rsidR="00E739E2">
        <w:rPr>
          <w:rFonts w:ascii="仿宋_GB2312" w:eastAsia="仿宋_GB2312" w:hAnsi="宋体" w:cs="宋体" w:hint="eastAsia"/>
          <w:kern w:val="0"/>
          <w:sz w:val="32"/>
          <w:szCs w:val="32"/>
        </w:rPr>
        <w:t>人次</w:t>
      </w:r>
      <w:r w:rsidR="00AF2410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proofErr w:type="gramStart"/>
      <w:r w:rsidR="00E13A20" w:rsidRPr="00F36FF3">
        <w:rPr>
          <w:rFonts w:ascii="仿宋_GB2312" w:eastAsia="仿宋_GB2312" w:hAnsi="宋体" w:cs="宋体" w:hint="eastAsia"/>
          <w:kern w:val="0"/>
          <w:sz w:val="32"/>
          <w:szCs w:val="32"/>
        </w:rPr>
        <w:t>微信公众号</w:t>
      </w:r>
      <w:proofErr w:type="gramEnd"/>
      <w:r w:rsidR="00E13A20">
        <w:rPr>
          <w:rFonts w:ascii="仿宋_GB2312" w:eastAsia="仿宋_GB2312" w:hAnsi="宋体" w:cs="宋体" w:hint="eastAsia"/>
          <w:kern w:val="0"/>
          <w:sz w:val="32"/>
          <w:szCs w:val="32"/>
        </w:rPr>
        <w:t>答复网民留言5条，</w:t>
      </w:r>
      <w:r w:rsidR="00E739E2" w:rsidRPr="000F19ED">
        <w:rPr>
          <w:rFonts w:ascii="仿宋_GB2312" w:eastAsia="仿宋_GB2312" w:hAnsi="宋体" w:cs="宋体" w:hint="eastAsia"/>
          <w:kern w:val="0"/>
          <w:sz w:val="32"/>
          <w:szCs w:val="32"/>
        </w:rPr>
        <w:t>满意度</w:t>
      </w:r>
      <w:r w:rsidR="00E739E2">
        <w:rPr>
          <w:rFonts w:ascii="仿宋_GB2312" w:eastAsia="仿宋_GB2312" w:hAnsi="宋体" w:cs="宋体" w:hint="eastAsia"/>
          <w:kern w:val="0"/>
          <w:sz w:val="32"/>
          <w:szCs w:val="32"/>
        </w:rPr>
        <w:t>均达100</w:t>
      </w:r>
      <w:r w:rsidR="00E739E2" w:rsidRPr="000F19ED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 w:rsidR="00E739E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93805" w:rsidRDefault="00693805" w:rsidP="00693805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1682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（</w:t>
      </w:r>
      <w:r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四</w:t>
      </w:r>
      <w:r w:rsidRPr="00011682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）</w:t>
      </w:r>
      <w:r w:rsidRPr="00693805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加</w:t>
      </w:r>
      <w:r w:rsidR="005D0B92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强</w:t>
      </w:r>
      <w:r w:rsidRPr="00693805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公开力度</w:t>
      </w:r>
    </w:p>
    <w:p w:rsidR="00693805" w:rsidRPr="00693805" w:rsidRDefault="00693805" w:rsidP="00693805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93805">
        <w:rPr>
          <w:rFonts w:ascii="仿宋_GB2312" w:eastAsia="仿宋_GB2312" w:hAnsi="宋体" w:cs="宋体" w:hint="eastAsia"/>
          <w:kern w:val="0"/>
          <w:sz w:val="32"/>
          <w:szCs w:val="32"/>
        </w:rPr>
        <w:t>民族宗教工作敏感性较强，我委在做好保密审核的同时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，积极</w:t>
      </w:r>
      <w:r w:rsidR="00B6624A" w:rsidRPr="00B6624A">
        <w:rPr>
          <w:rFonts w:ascii="仿宋_GB2312" w:eastAsia="仿宋_GB2312" w:hAnsi="宋体" w:cs="宋体" w:hint="eastAsia"/>
          <w:kern w:val="0"/>
          <w:sz w:val="32"/>
          <w:szCs w:val="32"/>
        </w:rPr>
        <w:t>拓展公开</w:t>
      </w:r>
      <w:r w:rsidR="003E3317">
        <w:rPr>
          <w:rFonts w:ascii="仿宋_GB2312" w:eastAsia="仿宋_GB2312" w:hAnsi="宋体" w:cs="宋体" w:hint="eastAsia"/>
          <w:kern w:val="0"/>
          <w:sz w:val="32"/>
          <w:szCs w:val="32"/>
        </w:rPr>
        <w:t>内容和</w:t>
      </w:r>
      <w:r w:rsidR="00B6624A" w:rsidRPr="00B6624A">
        <w:rPr>
          <w:rFonts w:ascii="仿宋_GB2312" w:eastAsia="仿宋_GB2312" w:hAnsi="宋体" w:cs="宋体" w:hint="eastAsia"/>
          <w:kern w:val="0"/>
          <w:sz w:val="32"/>
          <w:szCs w:val="32"/>
        </w:rPr>
        <w:t>范围</w:t>
      </w:r>
      <w:r w:rsidR="00B6624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693805">
        <w:rPr>
          <w:rFonts w:ascii="仿宋_GB2312" w:eastAsia="仿宋_GB2312" w:hAnsi="宋体" w:cs="宋体" w:hint="eastAsia"/>
          <w:kern w:val="0"/>
          <w:sz w:val="32"/>
          <w:szCs w:val="32"/>
        </w:rPr>
        <w:t>2019年</w:t>
      </w:r>
      <w:r w:rsidR="0049661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693805">
        <w:rPr>
          <w:rFonts w:ascii="仿宋_GB2312" w:eastAsia="仿宋_GB2312" w:hAnsi="宋体" w:cs="宋体" w:hint="eastAsia"/>
          <w:kern w:val="0"/>
          <w:sz w:val="32"/>
          <w:szCs w:val="32"/>
        </w:rPr>
        <w:t>主动公开</w:t>
      </w:r>
      <w:r w:rsidR="005F0E77">
        <w:rPr>
          <w:rFonts w:ascii="仿宋_GB2312" w:eastAsia="仿宋_GB2312" w:hAnsi="宋体" w:cs="宋体" w:hint="eastAsia"/>
          <w:kern w:val="0"/>
          <w:sz w:val="32"/>
          <w:szCs w:val="32"/>
        </w:rPr>
        <w:t>或更新</w:t>
      </w:r>
      <w:r w:rsidRPr="00693805">
        <w:rPr>
          <w:rFonts w:ascii="仿宋_GB2312" w:eastAsia="仿宋_GB2312" w:hAnsi="宋体" w:cs="宋体" w:hint="eastAsia"/>
          <w:kern w:val="0"/>
          <w:sz w:val="32"/>
          <w:szCs w:val="32"/>
        </w:rPr>
        <w:t>各类政府信息141条，其中政府信息公开年度报告1条，机构职能类信息5条，政策法规及解读类信息19条，财政预决算类信息30条，人事任免及</w:t>
      </w:r>
      <w:r w:rsidR="00E13DE7">
        <w:rPr>
          <w:rFonts w:ascii="仿宋_GB2312" w:eastAsia="仿宋_GB2312" w:hAnsi="宋体" w:cs="宋体" w:hint="eastAsia"/>
          <w:kern w:val="0"/>
          <w:sz w:val="32"/>
          <w:szCs w:val="32"/>
        </w:rPr>
        <w:t>人员</w:t>
      </w:r>
      <w:r w:rsidRPr="00693805">
        <w:rPr>
          <w:rFonts w:ascii="仿宋_GB2312" w:eastAsia="仿宋_GB2312" w:hAnsi="宋体" w:cs="宋体" w:hint="eastAsia"/>
          <w:kern w:val="0"/>
          <w:sz w:val="32"/>
          <w:szCs w:val="32"/>
        </w:rPr>
        <w:t>招考类信息31条，行政执法类信息4条，建议提案办理类信息6条，以及其</w:t>
      </w:r>
      <w:r w:rsidR="00B43ED5">
        <w:rPr>
          <w:rFonts w:ascii="仿宋_GB2312" w:eastAsia="仿宋_GB2312" w:hAnsi="宋体" w:cs="宋体" w:hint="eastAsia"/>
          <w:kern w:val="0"/>
          <w:sz w:val="32"/>
          <w:szCs w:val="32"/>
        </w:rPr>
        <w:t>他公开</w:t>
      </w:r>
      <w:r w:rsidRPr="00693805">
        <w:rPr>
          <w:rFonts w:ascii="仿宋_GB2312" w:eastAsia="仿宋_GB2312" w:hAnsi="宋体" w:cs="宋体" w:hint="eastAsia"/>
          <w:kern w:val="0"/>
          <w:sz w:val="32"/>
          <w:szCs w:val="32"/>
        </w:rPr>
        <w:t>信息45条。凡主动公开的信息，都在公开后的20个工作日内，向政府信息公开查阅服务中心提供纸质文件，进一步方便</w:t>
      </w:r>
      <w:r w:rsidR="0031547C">
        <w:rPr>
          <w:rFonts w:ascii="仿宋_GB2312" w:eastAsia="仿宋_GB2312" w:hAnsi="宋体" w:cs="宋体" w:hint="eastAsia"/>
          <w:kern w:val="0"/>
          <w:sz w:val="32"/>
          <w:szCs w:val="32"/>
        </w:rPr>
        <w:t>群众</w:t>
      </w:r>
      <w:r w:rsidRPr="00693805">
        <w:rPr>
          <w:rFonts w:ascii="仿宋_GB2312" w:eastAsia="仿宋_GB2312" w:hAnsi="宋体" w:cs="宋体" w:hint="eastAsia"/>
          <w:kern w:val="0"/>
          <w:sz w:val="32"/>
          <w:szCs w:val="32"/>
        </w:rPr>
        <w:t>查询。</w:t>
      </w:r>
    </w:p>
    <w:p w:rsidR="00976CE9" w:rsidRDefault="00976CE9" w:rsidP="00C02C17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 w:rsidRPr="00011682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（</w:t>
      </w:r>
      <w:r w:rsidR="00D1404E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五</w:t>
      </w:r>
      <w:r w:rsidRPr="00011682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）</w:t>
      </w:r>
      <w:r w:rsidR="00AD68DC">
        <w:rPr>
          <w:rFonts w:ascii="楷体_GB2312" w:eastAsia="楷体_GB2312" w:hAnsi="宋体" w:cs="宋体" w:hint="eastAsia"/>
          <w:color w:val="333333"/>
          <w:kern w:val="0"/>
          <w:sz w:val="32"/>
          <w:szCs w:val="32"/>
        </w:rPr>
        <w:t>加强平台建设</w:t>
      </w:r>
    </w:p>
    <w:p w:rsidR="00E227AF" w:rsidRDefault="00DF5833" w:rsidP="00DF5833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充分发挥政府网站在政府信息公开中的第一平台作用，</w:t>
      </w:r>
      <w:r w:rsidR="00D92A3C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按照市政府办《关于加强政府网站和政务新媒体常态化监管有关事项的通知》</w:t>
      </w:r>
      <w:r w:rsidR="00C444E0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要求，</w:t>
      </w:r>
      <w:r w:rsidR="00D92A3C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对委门户网站首页和栏目设置进行调整</w:t>
      </w:r>
      <w:r w:rsidR="0012607F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优化</w:t>
      </w:r>
      <w:r w:rsidR="00D92A3C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，加强</w:t>
      </w:r>
      <w:r w:rsidR="00D7251D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栏目</w:t>
      </w:r>
      <w:r w:rsidR="008B0351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分类</w:t>
      </w:r>
      <w:r w:rsidR="00D92A3C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整合，</w:t>
      </w:r>
      <w:r w:rsidR="00D7251D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开设</w:t>
      </w:r>
      <w:r w:rsidR="00545EC2" w:rsidRPr="00545EC2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D7251D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政策法规解读”“建议提案办理”</w:t>
      </w:r>
      <w:r w:rsidR="00756745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“信访举报”“便民服务”</w:t>
      </w:r>
      <w:r w:rsidR="00D7251D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等栏目</w:t>
      </w:r>
      <w:r w:rsidR="00613F99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，实现网站搜索结果首页显示及分类展现</w:t>
      </w:r>
      <w:r w:rsidR="00C818F3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，按照年度、内容对“通知公告”“政策法规”等栏目分类展</w:t>
      </w:r>
      <w:r w:rsidR="00EA14E6">
        <w:rPr>
          <w:rFonts w:ascii="仿宋_GB2312" w:eastAsia="仿宋_GB2312" w:hAnsi="宋体" w:cs="宋体" w:hint="eastAsia"/>
          <w:kern w:val="0"/>
          <w:sz w:val="32"/>
          <w:szCs w:val="32"/>
        </w:rPr>
        <w:t>示</w:t>
      </w:r>
      <w:r w:rsidR="00DE77F2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131BC5">
        <w:rPr>
          <w:rFonts w:ascii="仿宋_GB2312" w:eastAsia="仿宋_GB2312" w:hAnsi="宋体" w:cs="宋体" w:hint="eastAsia"/>
          <w:kern w:val="0"/>
          <w:sz w:val="32"/>
          <w:szCs w:val="32"/>
        </w:rPr>
        <w:t>优化清真食品备案系统链接布局，</w:t>
      </w:r>
      <w:r w:rsidR="003314B3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整合网民留言渠道，</w:t>
      </w:r>
      <w:r w:rsidR="00503220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="00C818F3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方便</w:t>
      </w:r>
      <w:r w:rsidR="00E375A0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群众查阅咨询</w:t>
      </w:r>
      <w:r w:rsidR="00445FBE">
        <w:rPr>
          <w:rFonts w:ascii="仿宋_GB2312" w:eastAsia="仿宋_GB2312" w:hAnsi="宋体" w:cs="宋体" w:hint="eastAsia"/>
          <w:kern w:val="0"/>
          <w:sz w:val="32"/>
          <w:szCs w:val="32"/>
        </w:rPr>
        <w:t>、办事服务</w:t>
      </w:r>
      <w:r w:rsidR="001E1F5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905043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利用</w:t>
      </w:r>
      <w:proofErr w:type="gramStart"/>
      <w:r w:rsidR="00613F99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微信公众号</w:t>
      </w:r>
      <w:proofErr w:type="gramEnd"/>
      <w:r w:rsidR="00613F99" w:rsidRPr="00CC151C">
        <w:rPr>
          <w:rFonts w:ascii="仿宋_GB2312" w:eastAsia="仿宋_GB2312" w:hAnsi="宋体" w:cs="宋体" w:hint="eastAsia"/>
          <w:kern w:val="0"/>
          <w:sz w:val="32"/>
          <w:szCs w:val="32"/>
        </w:rPr>
        <w:t>灵活便捷的优势，开展了信息发布、政策解读等工作，增强了公开时效，提升了服务水平。</w:t>
      </w:r>
    </w:p>
    <w:p w:rsidR="00686F32" w:rsidRPr="00CC151C" w:rsidRDefault="00686F32" w:rsidP="00DF5833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</w:p>
    <w:p w:rsidR="00BE6708" w:rsidRPr="00032005" w:rsidRDefault="00BE6708" w:rsidP="00032005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032005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W w:w="95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2833"/>
        <w:gridCol w:w="6"/>
        <w:gridCol w:w="1940"/>
        <w:gridCol w:w="2004"/>
      </w:tblGrid>
      <w:tr w:rsidR="00BE6708" w:rsidRPr="00EC0242" w:rsidTr="00686F32">
        <w:trPr>
          <w:trHeight w:val="364"/>
          <w:jc w:val="center"/>
        </w:trPr>
        <w:tc>
          <w:tcPr>
            <w:tcW w:w="9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第二十条第（一）项</w:t>
            </w:r>
          </w:p>
        </w:tc>
      </w:tr>
      <w:tr w:rsidR="00BE6708" w:rsidRPr="00EC0242" w:rsidTr="00686F32">
        <w:trPr>
          <w:trHeight w:val="646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</w:t>
            </w:r>
            <w:r w:rsidRPr="00EC0242">
              <w:rPr>
                <w:rFonts w:ascii="宋体" w:eastAsia="宋体" w:hAnsi="宋体" w:cs="宋体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</w:t>
            </w:r>
            <w:r w:rsidRPr="00EC0242">
              <w:rPr>
                <w:rFonts w:ascii="宋体" w:eastAsia="宋体" w:hAnsi="宋体" w:cs="宋体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:rsidR="00BE6708" w:rsidRPr="00EC0242" w:rsidTr="00686F32">
        <w:trPr>
          <w:trHeight w:val="383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897AF4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897AF4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897AF4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E6708" w:rsidRPr="00EC0242" w:rsidTr="00686F32">
        <w:trPr>
          <w:trHeight w:val="345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9507D3" w:rsidRDefault="00BE6708" w:rsidP="00CE5AC3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</w:pPr>
            <w:r w:rsidRPr="00A154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897AF4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897AF4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C41EF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BE6708" w:rsidRPr="00EC0242" w:rsidTr="00686F32">
        <w:trPr>
          <w:trHeight w:val="352"/>
          <w:jc w:val="center"/>
        </w:trPr>
        <w:tc>
          <w:tcPr>
            <w:tcW w:w="95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BE6708" w:rsidRPr="00EC0242" w:rsidTr="00686F32">
        <w:trPr>
          <w:trHeight w:val="464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BE6708" w:rsidRPr="00EC0242" w:rsidTr="00686F32">
        <w:trPr>
          <w:trHeight w:val="387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0335A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D2345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D2345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BE6708" w:rsidRPr="00EC0242" w:rsidTr="00686F32">
        <w:trPr>
          <w:trHeight w:val="404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0335A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0335A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0335A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E6708" w:rsidRPr="00EC0242" w:rsidTr="00686F32">
        <w:trPr>
          <w:trHeight w:val="298"/>
          <w:jc w:val="center"/>
        </w:trPr>
        <w:tc>
          <w:tcPr>
            <w:tcW w:w="95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BE6708" w:rsidRPr="00EC0242" w:rsidTr="00686F32">
        <w:trPr>
          <w:trHeight w:val="464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BE6708" w:rsidRPr="00EC0242" w:rsidTr="00686F32">
        <w:trPr>
          <w:trHeight w:val="397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D0AD2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D0AD2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D0AD2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E6708" w:rsidRPr="00EC0242" w:rsidTr="00686F32">
        <w:trPr>
          <w:trHeight w:val="404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D0AD2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D0AD2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D0AD2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E6708" w:rsidRPr="00EC0242" w:rsidTr="00686F32">
        <w:trPr>
          <w:trHeight w:val="479"/>
          <w:jc w:val="center"/>
        </w:trPr>
        <w:tc>
          <w:tcPr>
            <w:tcW w:w="95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BE6708" w:rsidRPr="00EC0242" w:rsidTr="00686F32">
        <w:trPr>
          <w:trHeight w:val="421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:rsidR="00BE6708" w:rsidRPr="00EC0242" w:rsidTr="00686F32">
        <w:trPr>
          <w:trHeight w:val="405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D0AD2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D0AD2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BE6708" w:rsidRPr="00EC0242" w:rsidTr="00686F32">
        <w:trPr>
          <w:trHeight w:val="349"/>
          <w:jc w:val="center"/>
        </w:trPr>
        <w:tc>
          <w:tcPr>
            <w:tcW w:w="95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 w:rsidR="00BE6708" w:rsidRPr="00EC0242" w:rsidTr="00686F32">
        <w:trPr>
          <w:trHeight w:val="484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采购总</w:t>
            </w:r>
            <w:proofErr w:type="gramEnd"/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  <w:r w:rsidR="00E233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BE6708" w:rsidRPr="00EC0242" w:rsidTr="00686F32">
        <w:trPr>
          <w:trHeight w:val="410"/>
          <w:jc w:val="center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404399" w:rsidRDefault="00BE6708" w:rsidP="00CE5AC3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</w:pPr>
            <w:r w:rsidRPr="003009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D641CE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A5410C" w:rsidP="00CE5AC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49648</w:t>
            </w:r>
          </w:p>
        </w:tc>
      </w:tr>
    </w:tbl>
    <w:p w:rsidR="00BE6708" w:rsidRPr="00BE6708" w:rsidRDefault="00BE6708" w:rsidP="00032005">
      <w:pPr>
        <w:widowControl/>
        <w:shd w:val="clear" w:color="auto" w:fill="FFFFFF"/>
        <w:spacing w:line="560" w:lineRule="exact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E6708" w:rsidRPr="00032005" w:rsidRDefault="00BE6708" w:rsidP="00032005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032005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9575" w:type="dxa"/>
        <w:jc w:val="center"/>
        <w:tblInd w:w="-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432"/>
        <w:gridCol w:w="1975"/>
        <w:gridCol w:w="798"/>
        <w:gridCol w:w="743"/>
        <w:gridCol w:w="743"/>
        <w:gridCol w:w="799"/>
        <w:gridCol w:w="714"/>
        <w:gridCol w:w="660"/>
        <w:gridCol w:w="756"/>
      </w:tblGrid>
      <w:tr w:rsidR="00BE6708" w:rsidRPr="00EC0242" w:rsidTr="002571D3">
        <w:trPr>
          <w:trHeight w:val="161"/>
          <w:jc w:val="center"/>
        </w:trPr>
        <w:tc>
          <w:tcPr>
            <w:tcW w:w="43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（本列数据的勾</w:t>
            </w:r>
            <w:proofErr w:type="gramStart"/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稽</w:t>
            </w:r>
            <w:proofErr w:type="gramEnd"/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关系为：第一项加第二项之和，等于第三项加第四项之和）</w:t>
            </w:r>
          </w:p>
        </w:tc>
        <w:tc>
          <w:tcPr>
            <w:tcW w:w="52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申请人情况</w:t>
            </w:r>
          </w:p>
        </w:tc>
      </w:tr>
      <w:tr w:rsidR="00EC0242" w:rsidRPr="00EC0242" w:rsidTr="002571D3">
        <w:trPr>
          <w:trHeight w:val="161"/>
          <w:jc w:val="center"/>
        </w:trPr>
        <w:tc>
          <w:tcPr>
            <w:tcW w:w="43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</w:t>
            </w:r>
          </w:p>
          <w:p w:rsid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然</w:t>
            </w:r>
          </w:p>
          <w:p w:rsidR="00BE6708" w:rsidRP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43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</w:p>
          <w:p w:rsid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公益</w:t>
            </w:r>
          </w:p>
          <w:p w:rsidR="00BE6708" w:rsidRP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7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86F32" w:rsidRPr="00EC0242" w:rsidTr="002571D3">
        <w:trPr>
          <w:trHeight w:val="375"/>
          <w:jc w:val="center"/>
        </w:trPr>
        <w:tc>
          <w:tcPr>
            <w:tcW w:w="43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686F32" w:rsidRPr="00EC0242" w:rsidTr="002571D3">
        <w:trPr>
          <w:trHeight w:val="404"/>
          <w:jc w:val="center"/>
        </w:trPr>
        <w:tc>
          <w:tcPr>
            <w:tcW w:w="43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336228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403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3.危及“三安全</w:t>
            </w:r>
            <w:proofErr w:type="gramStart"/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稳定”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（五）</w:t>
            </w:r>
            <w:proofErr w:type="gramStart"/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不予处理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161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334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686F32" w:rsidRPr="00EC0242" w:rsidTr="002571D3">
        <w:trPr>
          <w:trHeight w:val="347"/>
          <w:jc w:val="center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686F32" w:rsidRPr="00EC0242" w:rsidTr="002571D3">
        <w:trPr>
          <w:trHeight w:val="333"/>
          <w:jc w:val="center"/>
        </w:trPr>
        <w:tc>
          <w:tcPr>
            <w:tcW w:w="43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8F" w:rsidRPr="00EC0242" w:rsidRDefault="00740C8F" w:rsidP="00CE5AC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BE6708" w:rsidRPr="00BE6708" w:rsidRDefault="00BE6708" w:rsidP="00032005">
      <w:pPr>
        <w:widowControl/>
        <w:shd w:val="clear" w:color="auto" w:fill="FFFFFF"/>
        <w:spacing w:line="560" w:lineRule="exact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E6708" w:rsidRPr="00BE6708" w:rsidRDefault="00BE6708" w:rsidP="00EC0242">
      <w:pPr>
        <w:widowControl/>
        <w:shd w:val="clear" w:color="auto" w:fill="FFFFFF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32005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W w:w="9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641"/>
        <w:gridCol w:w="643"/>
        <w:gridCol w:w="667"/>
        <w:gridCol w:w="683"/>
        <w:gridCol w:w="587"/>
        <w:gridCol w:w="647"/>
        <w:gridCol w:w="647"/>
        <w:gridCol w:w="647"/>
        <w:gridCol w:w="651"/>
        <w:gridCol w:w="647"/>
        <w:gridCol w:w="647"/>
        <w:gridCol w:w="647"/>
        <w:gridCol w:w="648"/>
        <w:gridCol w:w="657"/>
      </w:tblGrid>
      <w:tr w:rsidR="00BE6708" w:rsidRPr="00EC0242" w:rsidTr="00686F32">
        <w:trPr>
          <w:trHeight w:val="437"/>
          <w:jc w:val="center"/>
        </w:trPr>
        <w:tc>
          <w:tcPr>
            <w:tcW w:w="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行政诉讼</w:t>
            </w:r>
          </w:p>
        </w:tc>
      </w:tr>
      <w:tr w:rsidR="00EC0242" w:rsidRPr="00EC0242" w:rsidTr="00686F32">
        <w:trPr>
          <w:trHeight w:val="548"/>
          <w:jc w:val="center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EC0242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</w:t>
            </w:r>
            <w:r w:rsidR="00BE6708"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果维持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31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复议后起诉</w:t>
            </w:r>
          </w:p>
        </w:tc>
      </w:tr>
      <w:tr w:rsidR="00686F32" w:rsidRPr="00EC0242" w:rsidTr="00686F32">
        <w:trPr>
          <w:trHeight w:val="10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BE6708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:rsidR="00686F32" w:rsidRPr="00EC0242" w:rsidTr="00686F32">
        <w:trPr>
          <w:trHeight w:val="520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08" w:rsidRPr="00EC0242" w:rsidRDefault="00184ACC" w:rsidP="00686F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BE6708" w:rsidRPr="00032005" w:rsidRDefault="00BE6708" w:rsidP="00032005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032005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lastRenderedPageBreak/>
        <w:t>五、存在的主要问题及改进情况</w:t>
      </w:r>
    </w:p>
    <w:p w:rsidR="00BE6708" w:rsidRPr="00032005" w:rsidRDefault="00A154AE" w:rsidP="00017533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9</w:t>
      </w:r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年，</w:t>
      </w:r>
      <w:r w:rsidR="008307C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我委</w:t>
      </w:r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政府信息公开工作取得了明显成效，但距离新形势下的任务要求和社会公众的</w:t>
      </w:r>
      <w:proofErr w:type="gramStart"/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期待仍</w:t>
      </w:r>
      <w:proofErr w:type="gramEnd"/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存在差距。主要表现为：</w:t>
      </w:r>
      <w:r w:rsidR="00DE4355"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政府信息主动公开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</w:t>
      </w:r>
      <w:r w:rsidR="00DE4355"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力度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还需</w:t>
      </w:r>
      <w:r w:rsidR="00DE4355"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进一步加大；政府信息公开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</w:t>
      </w:r>
      <w:r w:rsidR="00DE34B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手段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还需进一步</w:t>
      </w:r>
      <w:r w:rsidR="00DE4355" w:rsidRP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创新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；</w:t>
      </w:r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政策解读的针对性和</w:t>
      </w:r>
      <w:r w:rsidR="00601AD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实</w:t>
      </w:r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效性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还需进一步增强</w:t>
      </w:r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等。下一步，我们将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结合单位实际和工作实践，优化</w:t>
      </w:r>
      <w:r w:rsidR="00DE4355"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政府信息公开</w:t>
      </w:r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工作机制，加快流转环节，提高发布时效，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进一步</w:t>
      </w:r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挖掘政府信息予以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主动</w:t>
      </w:r>
      <w:r w:rsidRPr="00A154A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公开</w:t>
      </w:r>
      <w:r w:rsid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；</w:t>
      </w:r>
      <w:r w:rsidR="00240BBD" w:rsidRPr="00240BB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综合运用传统媒体、政务新媒体等平台，</w:t>
      </w:r>
      <w:r w:rsidR="00A97E94" w:rsidRP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充分发挥政务新媒体在政府信息</w:t>
      </w:r>
      <w:r w:rsidR="00A97E9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公开</w:t>
      </w:r>
      <w:r w:rsidR="00A97E94" w:rsidRP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中的</w:t>
      </w:r>
      <w:r w:rsidR="00A97E9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独特优势，</w:t>
      </w:r>
      <w:r w:rsidR="00A5733C" w:rsidRPr="00A573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进一步</w:t>
      </w:r>
      <w:r w:rsidR="00A573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加强政府信息公开</w:t>
      </w:r>
      <w:r w:rsidR="00FD03D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手段</w:t>
      </w:r>
      <w:r w:rsidR="00A573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</w:t>
      </w:r>
      <w:r w:rsidR="00A5733C" w:rsidRPr="00A573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创新实践</w:t>
      </w:r>
      <w:r w:rsidR="0001753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；</w:t>
      </w:r>
      <w:r w:rsidR="00017533" w:rsidRPr="00DE435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积极采用图片图表、音频视频等群众喜闻乐见的展现形式，</w:t>
      </w:r>
      <w:r w:rsidR="00017533" w:rsidRPr="0001753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多用客观数据、生动案例，进行立体式、多方位</w:t>
      </w:r>
      <w:r w:rsidR="0001753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政策</w:t>
      </w:r>
      <w:r w:rsidR="00017533" w:rsidRPr="0001753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解读，真正让群众看得到、能理解。</w:t>
      </w:r>
    </w:p>
    <w:p w:rsidR="00715F18" w:rsidRDefault="00BE6708" w:rsidP="00715F18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032005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六、其他需要报告的事项</w:t>
      </w:r>
    </w:p>
    <w:p w:rsidR="004A2BB4" w:rsidRPr="00F2263A" w:rsidRDefault="00F2263A" w:rsidP="00F2263A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263A">
        <w:rPr>
          <w:rFonts w:ascii="仿宋_GB2312" w:eastAsia="仿宋_GB2312" w:hint="eastAsia"/>
          <w:sz w:val="32"/>
          <w:szCs w:val="32"/>
        </w:rPr>
        <w:t>本年度报告电子版可</w:t>
      </w:r>
      <w:r>
        <w:rPr>
          <w:rFonts w:ascii="仿宋_GB2312" w:eastAsia="仿宋_GB2312" w:hint="eastAsia"/>
          <w:sz w:val="32"/>
          <w:szCs w:val="32"/>
        </w:rPr>
        <w:t>从</w:t>
      </w:r>
      <w:r w:rsidR="00E47170" w:rsidRPr="00E47170">
        <w:rPr>
          <w:rFonts w:ascii="仿宋_GB2312" w:eastAsia="仿宋_GB2312" w:hint="eastAsia"/>
          <w:sz w:val="32"/>
          <w:szCs w:val="32"/>
        </w:rPr>
        <w:t>“天津政务网”</w:t>
      </w:r>
      <w:r w:rsidRPr="00F2263A">
        <w:rPr>
          <w:rFonts w:ascii="仿宋_GB2312" w:eastAsia="仿宋_GB2312" w:hint="eastAsia"/>
          <w:sz w:val="32"/>
          <w:szCs w:val="32"/>
        </w:rPr>
        <w:t>政府信息公开</w:t>
      </w:r>
      <w:r w:rsidR="002C0997">
        <w:rPr>
          <w:rFonts w:ascii="仿宋_GB2312" w:eastAsia="仿宋_GB2312" w:hint="eastAsia"/>
          <w:sz w:val="32"/>
          <w:szCs w:val="32"/>
        </w:rPr>
        <w:t>专栏</w:t>
      </w:r>
      <w:r w:rsidRPr="00F2263A">
        <w:rPr>
          <w:rFonts w:ascii="仿宋_GB2312" w:eastAsia="仿宋_GB2312" w:hint="eastAsia"/>
          <w:sz w:val="32"/>
          <w:szCs w:val="32"/>
        </w:rPr>
        <w:t>(http://gk.tj.gov.cn/)下载。如对本年度报告有疑问，请与天津市民族和宗教事务委员会联系(地址</w:t>
      </w:r>
      <w:r>
        <w:rPr>
          <w:rFonts w:ascii="仿宋_GB2312" w:eastAsia="仿宋_GB2312" w:hint="eastAsia"/>
          <w:sz w:val="32"/>
          <w:szCs w:val="32"/>
        </w:rPr>
        <w:t>：</w:t>
      </w:r>
      <w:r w:rsidRPr="00F2263A">
        <w:rPr>
          <w:rFonts w:ascii="仿宋_GB2312" w:eastAsia="仿宋_GB2312" w:hint="eastAsia"/>
          <w:sz w:val="32"/>
          <w:szCs w:val="32"/>
        </w:rPr>
        <w:t>天津市和平区成都道77号</w:t>
      </w:r>
      <w:r>
        <w:rPr>
          <w:rFonts w:ascii="仿宋_GB2312" w:eastAsia="仿宋_GB2312" w:hint="eastAsia"/>
          <w:sz w:val="32"/>
          <w:szCs w:val="32"/>
        </w:rPr>
        <w:t>，</w:t>
      </w:r>
      <w:r w:rsidRPr="00F2263A">
        <w:rPr>
          <w:rFonts w:ascii="仿宋_GB2312" w:eastAsia="仿宋_GB2312" w:hint="eastAsia"/>
          <w:sz w:val="32"/>
          <w:szCs w:val="32"/>
        </w:rPr>
        <w:t>邮编：300050</w:t>
      </w:r>
      <w:r>
        <w:rPr>
          <w:rFonts w:ascii="仿宋_GB2312" w:eastAsia="仿宋_GB2312" w:hint="eastAsia"/>
          <w:sz w:val="32"/>
          <w:szCs w:val="32"/>
        </w:rPr>
        <w:t>，</w:t>
      </w:r>
      <w:r w:rsidRPr="00F2263A">
        <w:rPr>
          <w:rFonts w:ascii="仿宋_GB2312" w:eastAsia="仿宋_GB2312" w:hint="eastAsia"/>
          <w:sz w:val="32"/>
          <w:szCs w:val="32"/>
        </w:rPr>
        <w:t>电话：022-2331</w:t>
      </w:r>
      <w:r>
        <w:rPr>
          <w:rFonts w:ascii="仿宋_GB2312" w:eastAsia="仿宋_GB2312" w:hint="eastAsia"/>
          <w:sz w:val="32"/>
          <w:szCs w:val="32"/>
        </w:rPr>
        <w:t>9080</w:t>
      </w:r>
      <w:r w:rsidRPr="00F2263A">
        <w:rPr>
          <w:rFonts w:ascii="仿宋_GB2312" w:eastAsia="仿宋_GB2312" w:hint="eastAsia"/>
          <w:sz w:val="32"/>
          <w:szCs w:val="32"/>
        </w:rPr>
        <w:t>，电子邮箱：</w:t>
      </w:r>
      <w:r w:rsidRPr="00F2263A">
        <w:rPr>
          <w:rFonts w:ascii="仿宋_GB2312" w:eastAsia="仿宋_GB2312"/>
          <w:sz w:val="32"/>
          <w:szCs w:val="32"/>
        </w:rPr>
        <w:t>smzzjwzxc@tj.gov.cn</w:t>
      </w:r>
      <w:r w:rsidRPr="00F2263A">
        <w:rPr>
          <w:rFonts w:ascii="仿宋_GB2312" w:eastAsia="仿宋_GB2312" w:hint="eastAsia"/>
          <w:sz w:val="32"/>
          <w:szCs w:val="32"/>
        </w:rPr>
        <w:t>)。</w:t>
      </w:r>
    </w:p>
    <w:p w:rsidR="00610ED2" w:rsidRDefault="00610ED2" w:rsidP="00715F18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CE5AC3" w:rsidRDefault="00CE5AC3" w:rsidP="00715F18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17656A" w:rsidRDefault="0017656A" w:rsidP="00715F18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4A2BB4" w:rsidRDefault="004A2BB4" w:rsidP="0017656A">
      <w:pPr>
        <w:widowControl/>
        <w:shd w:val="clear" w:color="auto" w:fill="FFFFFF"/>
        <w:wordWrap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天津市民族和宗教事务委员会    </w:t>
      </w:r>
    </w:p>
    <w:p w:rsidR="004A2BB4" w:rsidRPr="004A2BB4" w:rsidRDefault="004A2BB4" w:rsidP="004A2BB4">
      <w:pPr>
        <w:widowControl/>
        <w:shd w:val="clear" w:color="auto" w:fill="FFFFFF"/>
        <w:wordWrap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2020年1月</w:t>
      </w:r>
      <w:r w:rsidR="0081341E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0日        </w:t>
      </w:r>
    </w:p>
    <w:sectPr w:rsidR="004A2BB4" w:rsidRPr="004A2BB4" w:rsidSect="00B33B69">
      <w:footerReference w:type="default" r:id="rId8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2B" w:rsidRDefault="00C0252B" w:rsidP="00ED2EEC">
      <w:r>
        <w:separator/>
      </w:r>
    </w:p>
  </w:endnote>
  <w:endnote w:type="continuationSeparator" w:id="0">
    <w:p w:rsidR="00C0252B" w:rsidRDefault="00C0252B" w:rsidP="00ED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678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ED2EEC" w:rsidRPr="00ED2EEC" w:rsidRDefault="00ED2EEC" w:rsidP="00ED2EEC">
        <w:pPr>
          <w:pStyle w:val="a5"/>
          <w:jc w:val="center"/>
          <w:rPr>
            <w:rFonts w:ascii="宋体" w:eastAsia="宋体" w:hAnsi="宋体"/>
            <w:sz w:val="24"/>
            <w:szCs w:val="24"/>
          </w:rPr>
        </w:pPr>
        <w:r w:rsidRPr="00ED2EEC">
          <w:rPr>
            <w:rFonts w:ascii="宋体" w:eastAsia="宋体" w:hAnsi="宋体" w:hint="eastAsia"/>
            <w:sz w:val="24"/>
            <w:szCs w:val="24"/>
          </w:rPr>
          <w:t xml:space="preserve">— </w:t>
        </w:r>
        <w:r w:rsidRPr="00ED2EEC">
          <w:rPr>
            <w:rFonts w:ascii="宋体" w:eastAsia="宋体" w:hAnsi="宋体"/>
            <w:sz w:val="24"/>
            <w:szCs w:val="24"/>
          </w:rPr>
          <w:fldChar w:fldCharType="begin"/>
        </w:r>
        <w:r w:rsidRPr="00ED2EEC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ED2EEC">
          <w:rPr>
            <w:rFonts w:ascii="宋体" w:eastAsia="宋体" w:hAnsi="宋体"/>
            <w:sz w:val="24"/>
            <w:szCs w:val="24"/>
          </w:rPr>
          <w:fldChar w:fldCharType="separate"/>
        </w:r>
        <w:r w:rsidR="00D23458" w:rsidRPr="00D23458">
          <w:rPr>
            <w:rFonts w:ascii="宋体" w:eastAsia="宋体" w:hAnsi="宋体"/>
            <w:noProof/>
            <w:sz w:val="24"/>
            <w:szCs w:val="24"/>
            <w:lang w:val="zh-CN"/>
          </w:rPr>
          <w:t>4</w:t>
        </w:r>
        <w:r w:rsidRPr="00ED2EEC">
          <w:rPr>
            <w:rFonts w:ascii="宋体" w:eastAsia="宋体" w:hAnsi="宋体"/>
            <w:sz w:val="24"/>
            <w:szCs w:val="24"/>
          </w:rPr>
          <w:fldChar w:fldCharType="end"/>
        </w:r>
        <w:r w:rsidRPr="00ED2EEC">
          <w:rPr>
            <w:rFonts w:ascii="宋体" w:eastAsia="宋体" w:hAnsi="宋体" w:hint="eastAsia"/>
            <w:sz w:val="24"/>
            <w:szCs w:val="24"/>
          </w:rPr>
          <w:t xml:space="preserve"> —</w:t>
        </w:r>
      </w:p>
    </w:sdtContent>
  </w:sdt>
  <w:p w:rsidR="00ED2EEC" w:rsidRDefault="00ED2E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2B" w:rsidRDefault="00C0252B" w:rsidP="00ED2EEC">
      <w:r>
        <w:separator/>
      </w:r>
    </w:p>
  </w:footnote>
  <w:footnote w:type="continuationSeparator" w:id="0">
    <w:p w:rsidR="00C0252B" w:rsidRDefault="00C0252B" w:rsidP="00ED2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3C"/>
    <w:rsid w:val="00004597"/>
    <w:rsid w:val="00011682"/>
    <w:rsid w:val="00017533"/>
    <w:rsid w:val="00024761"/>
    <w:rsid w:val="00032005"/>
    <w:rsid w:val="00032DCD"/>
    <w:rsid w:val="00055973"/>
    <w:rsid w:val="00085DA8"/>
    <w:rsid w:val="000A52AB"/>
    <w:rsid w:val="000B463E"/>
    <w:rsid w:val="000C048A"/>
    <w:rsid w:val="000E5807"/>
    <w:rsid w:val="000F19ED"/>
    <w:rsid w:val="0012607F"/>
    <w:rsid w:val="001312EF"/>
    <w:rsid w:val="00131BC5"/>
    <w:rsid w:val="001351AB"/>
    <w:rsid w:val="001372DD"/>
    <w:rsid w:val="001538F6"/>
    <w:rsid w:val="00175265"/>
    <w:rsid w:val="0017656A"/>
    <w:rsid w:val="00184ACC"/>
    <w:rsid w:val="001A143D"/>
    <w:rsid w:val="001D008E"/>
    <w:rsid w:val="001E1F5E"/>
    <w:rsid w:val="001E799D"/>
    <w:rsid w:val="001F5282"/>
    <w:rsid w:val="001F6B12"/>
    <w:rsid w:val="002041A7"/>
    <w:rsid w:val="002054DB"/>
    <w:rsid w:val="00205550"/>
    <w:rsid w:val="002067C7"/>
    <w:rsid w:val="00240BBD"/>
    <w:rsid w:val="002571D3"/>
    <w:rsid w:val="00280C18"/>
    <w:rsid w:val="002825F1"/>
    <w:rsid w:val="002B3C4C"/>
    <w:rsid w:val="002C0997"/>
    <w:rsid w:val="002C0D6F"/>
    <w:rsid w:val="002C250B"/>
    <w:rsid w:val="002C7623"/>
    <w:rsid w:val="002D49A3"/>
    <w:rsid w:val="003009AC"/>
    <w:rsid w:val="0031326F"/>
    <w:rsid w:val="0031547C"/>
    <w:rsid w:val="003314B3"/>
    <w:rsid w:val="00336228"/>
    <w:rsid w:val="00337CF6"/>
    <w:rsid w:val="00346687"/>
    <w:rsid w:val="00346B59"/>
    <w:rsid w:val="003630A5"/>
    <w:rsid w:val="00370A5E"/>
    <w:rsid w:val="00383ED2"/>
    <w:rsid w:val="003942B9"/>
    <w:rsid w:val="003C07EF"/>
    <w:rsid w:val="003E1A40"/>
    <w:rsid w:val="003E3317"/>
    <w:rsid w:val="003F54BD"/>
    <w:rsid w:val="003F67B1"/>
    <w:rsid w:val="00404399"/>
    <w:rsid w:val="004068AA"/>
    <w:rsid w:val="00410AEE"/>
    <w:rsid w:val="00431821"/>
    <w:rsid w:val="00436FDC"/>
    <w:rsid w:val="00445FBE"/>
    <w:rsid w:val="00483959"/>
    <w:rsid w:val="00496615"/>
    <w:rsid w:val="004A075B"/>
    <w:rsid w:val="004A2BB4"/>
    <w:rsid w:val="004C48F7"/>
    <w:rsid w:val="004C6DF9"/>
    <w:rsid w:val="004D44A1"/>
    <w:rsid w:val="00503220"/>
    <w:rsid w:val="00515735"/>
    <w:rsid w:val="0052450D"/>
    <w:rsid w:val="005307D7"/>
    <w:rsid w:val="00545EC2"/>
    <w:rsid w:val="00594EFC"/>
    <w:rsid w:val="005D0B92"/>
    <w:rsid w:val="005E4589"/>
    <w:rsid w:val="005F0051"/>
    <w:rsid w:val="005F0E77"/>
    <w:rsid w:val="00601ADE"/>
    <w:rsid w:val="00610ED2"/>
    <w:rsid w:val="0061251A"/>
    <w:rsid w:val="00613F99"/>
    <w:rsid w:val="00652621"/>
    <w:rsid w:val="0065511D"/>
    <w:rsid w:val="00660EA3"/>
    <w:rsid w:val="00674CA7"/>
    <w:rsid w:val="00686F32"/>
    <w:rsid w:val="00692306"/>
    <w:rsid w:val="00693805"/>
    <w:rsid w:val="006A2F9C"/>
    <w:rsid w:val="006A712A"/>
    <w:rsid w:val="006B070D"/>
    <w:rsid w:val="006B0A2C"/>
    <w:rsid w:val="006C77F2"/>
    <w:rsid w:val="00701AC5"/>
    <w:rsid w:val="007051D7"/>
    <w:rsid w:val="00715F18"/>
    <w:rsid w:val="0073156A"/>
    <w:rsid w:val="00740C8F"/>
    <w:rsid w:val="00750E40"/>
    <w:rsid w:val="00756745"/>
    <w:rsid w:val="00764ABF"/>
    <w:rsid w:val="00772FE7"/>
    <w:rsid w:val="00782048"/>
    <w:rsid w:val="0079292F"/>
    <w:rsid w:val="007A3D8C"/>
    <w:rsid w:val="007C605C"/>
    <w:rsid w:val="0081341E"/>
    <w:rsid w:val="00813EC4"/>
    <w:rsid w:val="008307C5"/>
    <w:rsid w:val="00843F6A"/>
    <w:rsid w:val="00864C61"/>
    <w:rsid w:val="008776D2"/>
    <w:rsid w:val="00893B06"/>
    <w:rsid w:val="00897AF4"/>
    <w:rsid w:val="008B0351"/>
    <w:rsid w:val="008B365C"/>
    <w:rsid w:val="008E2237"/>
    <w:rsid w:val="008F227B"/>
    <w:rsid w:val="00905043"/>
    <w:rsid w:val="009177F5"/>
    <w:rsid w:val="009331AC"/>
    <w:rsid w:val="00934225"/>
    <w:rsid w:val="009507D3"/>
    <w:rsid w:val="00955794"/>
    <w:rsid w:val="00956A90"/>
    <w:rsid w:val="00976CE9"/>
    <w:rsid w:val="00977133"/>
    <w:rsid w:val="009846B7"/>
    <w:rsid w:val="009C1EDA"/>
    <w:rsid w:val="00A154AE"/>
    <w:rsid w:val="00A26D49"/>
    <w:rsid w:val="00A36761"/>
    <w:rsid w:val="00A5410C"/>
    <w:rsid w:val="00A5733C"/>
    <w:rsid w:val="00A744AD"/>
    <w:rsid w:val="00A7782A"/>
    <w:rsid w:val="00A97E94"/>
    <w:rsid w:val="00AC5BFD"/>
    <w:rsid w:val="00AD457B"/>
    <w:rsid w:val="00AD68DC"/>
    <w:rsid w:val="00AE41E5"/>
    <w:rsid w:val="00AE78E5"/>
    <w:rsid w:val="00AF2410"/>
    <w:rsid w:val="00B0335A"/>
    <w:rsid w:val="00B33B69"/>
    <w:rsid w:val="00B43ED5"/>
    <w:rsid w:val="00B47F5F"/>
    <w:rsid w:val="00B50FE4"/>
    <w:rsid w:val="00B53885"/>
    <w:rsid w:val="00B6624A"/>
    <w:rsid w:val="00B71BA9"/>
    <w:rsid w:val="00B767C2"/>
    <w:rsid w:val="00B83EBB"/>
    <w:rsid w:val="00BB00C0"/>
    <w:rsid w:val="00BB5545"/>
    <w:rsid w:val="00BD0AD2"/>
    <w:rsid w:val="00BE4C3D"/>
    <w:rsid w:val="00BE6708"/>
    <w:rsid w:val="00BE6876"/>
    <w:rsid w:val="00C0252B"/>
    <w:rsid w:val="00C02C17"/>
    <w:rsid w:val="00C1473C"/>
    <w:rsid w:val="00C1714F"/>
    <w:rsid w:val="00C41EF8"/>
    <w:rsid w:val="00C444E0"/>
    <w:rsid w:val="00C64ACB"/>
    <w:rsid w:val="00C719D0"/>
    <w:rsid w:val="00C818F3"/>
    <w:rsid w:val="00CA21EA"/>
    <w:rsid w:val="00CC151C"/>
    <w:rsid w:val="00CC7952"/>
    <w:rsid w:val="00CD1574"/>
    <w:rsid w:val="00CE5AC3"/>
    <w:rsid w:val="00D03573"/>
    <w:rsid w:val="00D1404E"/>
    <w:rsid w:val="00D23458"/>
    <w:rsid w:val="00D51DC9"/>
    <w:rsid w:val="00D60AA1"/>
    <w:rsid w:val="00D641CE"/>
    <w:rsid w:val="00D648E9"/>
    <w:rsid w:val="00D7251D"/>
    <w:rsid w:val="00D875A7"/>
    <w:rsid w:val="00D92A3C"/>
    <w:rsid w:val="00D978DD"/>
    <w:rsid w:val="00DE34B2"/>
    <w:rsid w:val="00DE4355"/>
    <w:rsid w:val="00DE77F2"/>
    <w:rsid w:val="00DF5833"/>
    <w:rsid w:val="00E02A46"/>
    <w:rsid w:val="00E13A20"/>
    <w:rsid w:val="00E13DE7"/>
    <w:rsid w:val="00E16170"/>
    <w:rsid w:val="00E227AF"/>
    <w:rsid w:val="00E233E5"/>
    <w:rsid w:val="00E2462F"/>
    <w:rsid w:val="00E36863"/>
    <w:rsid w:val="00E375A0"/>
    <w:rsid w:val="00E47170"/>
    <w:rsid w:val="00E52CE4"/>
    <w:rsid w:val="00E739E2"/>
    <w:rsid w:val="00E850CD"/>
    <w:rsid w:val="00EA14E6"/>
    <w:rsid w:val="00EB1C5C"/>
    <w:rsid w:val="00EC0242"/>
    <w:rsid w:val="00EC1C95"/>
    <w:rsid w:val="00ED2EEC"/>
    <w:rsid w:val="00ED7B0F"/>
    <w:rsid w:val="00EF33B1"/>
    <w:rsid w:val="00F043D2"/>
    <w:rsid w:val="00F07E1F"/>
    <w:rsid w:val="00F2263A"/>
    <w:rsid w:val="00F36FF3"/>
    <w:rsid w:val="00F445B1"/>
    <w:rsid w:val="00F727B7"/>
    <w:rsid w:val="00F83429"/>
    <w:rsid w:val="00FC219A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2E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2E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2E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2E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68">
              <w:marLeft w:val="0"/>
              <w:marRight w:val="0"/>
              <w:marTop w:val="300"/>
              <w:marBottom w:val="0"/>
              <w:divBdr>
                <w:top w:val="single" w:sz="6" w:space="31" w:color="D9D9D9"/>
                <w:left w:val="single" w:sz="6" w:space="31" w:color="D9D9D9"/>
                <w:bottom w:val="single" w:sz="6" w:space="31" w:color="D9D9D9"/>
                <w:right w:val="single" w:sz="6" w:space="31" w:color="D9D9D9"/>
              </w:divBdr>
              <w:divsChild>
                <w:div w:id="19493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23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8" w:color="CCCCCC"/>
                <w:right w:val="single" w:sz="6" w:space="0" w:color="CCCCCC"/>
              </w:divBdr>
              <w:divsChild>
                <w:div w:id="20281671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16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8" w:color="CCCCCC"/>
                <w:right w:val="single" w:sz="6" w:space="0" w:color="CCCCCC"/>
              </w:divBdr>
              <w:divsChild>
                <w:div w:id="17055208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0993">
              <w:marLeft w:val="0"/>
              <w:marRight w:val="0"/>
              <w:marTop w:val="0"/>
              <w:marBottom w:val="0"/>
              <w:divBdr>
                <w:top w:val="single" w:sz="6" w:space="0" w:color="5B94D6"/>
                <w:left w:val="single" w:sz="6" w:space="31" w:color="5B94D6"/>
                <w:bottom w:val="single" w:sz="6" w:space="0" w:color="5B94D6"/>
                <w:right w:val="single" w:sz="6" w:space="0" w:color="5B94D6"/>
              </w:divBdr>
            </w:div>
          </w:divsChild>
        </w:div>
      </w:divsChild>
    </w:div>
    <w:div w:id="1430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07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8" w:color="CCCCCC"/>
                <w:right w:val="single" w:sz="6" w:space="0" w:color="CCCCCC"/>
              </w:divBdr>
              <w:divsChild>
                <w:div w:id="12101504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40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8" w:color="CCCCCC"/>
                <w:right w:val="single" w:sz="6" w:space="0" w:color="CCCCCC"/>
              </w:divBdr>
              <w:divsChild>
                <w:div w:id="1933533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090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8" w:color="CCCCCC"/>
                <w:right w:val="single" w:sz="6" w:space="0" w:color="CCCCCC"/>
              </w:divBdr>
              <w:divsChild>
                <w:div w:id="4162883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1676-5582-4DB0-9165-9BD60704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</dc:creator>
  <cp:keywords/>
  <dc:description/>
  <cp:lastModifiedBy>BIN</cp:lastModifiedBy>
  <cp:revision>206</cp:revision>
  <dcterms:created xsi:type="dcterms:W3CDTF">2019-12-13T07:30:00Z</dcterms:created>
  <dcterms:modified xsi:type="dcterms:W3CDTF">2020-01-13T08:28:00Z</dcterms:modified>
</cp:coreProperties>
</file>