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3B784B">
      <w:pPr>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eastAsia="方正小标宋简体" w:cs="方正小标宋简体"/>
          <w:color w:val="auto"/>
          <w:spacing w:val="-11"/>
          <w:sz w:val="44"/>
          <w:szCs w:val="44"/>
          <w:lang w:val="en-US" w:eastAsia="zh-CN"/>
        </w:rPr>
      </w:pPr>
      <w:r>
        <w:rPr>
          <w:rFonts w:hint="eastAsia" w:eastAsia="方正小标宋简体" w:cs="方正小标宋简体"/>
          <w:color w:val="auto"/>
          <w:spacing w:val="-11"/>
          <w:sz w:val="44"/>
          <w:szCs w:val="44"/>
          <w:lang w:eastAsia="zh-CN"/>
        </w:rPr>
        <w:t>市民政局</w:t>
      </w:r>
      <w:r>
        <w:rPr>
          <w:rFonts w:hint="eastAsia" w:ascii="Times New Roman" w:hAnsi="Times New Roman" w:eastAsia="方正小标宋简体" w:cs="方正小标宋简体"/>
          <w:color w:val="auto"/>
          <w:spacing w:val="-11"/>
          <w:sz w:val="44"/>
          <w:szCs w:val="44"/>
        </w:rPr>
        <w:t>关于进一步规范我市养老服务</w:t>
      </w:r>
      <w:r>
        <w:rPr>
          <w:rFonts w:hint="eastAsia" w:eastAsia="方正小标宋简体" w:cs="方正小标宋简体"/>
          <w:color w:val="auto"/>
          <w:spacing w:val="-11"/>
          <w:sz w:val="44"/>
          <w:szCs w:val="44"/>
          <w:lang w:val="en-US" w:eastAsia="zh-CN"/>
        </w:rPr>
        <w:t>设施</w:t>
      </w:r>
    </w:p>
    <w:p w14:paraId="0554EC7F">
      <w:pPr>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firstLine="0" w:firstLineChars="0"/>
        <w:jc w:val="center"/>
        <w:textAlignment w:val="auto"/>
        <w:outlineLvl w:val="9"/>
        <w:rPr>
          <w:rFonts w:hint="eastAsia" w:ascii="Times New Roman" w:hAnsi="Times New Roman" w:eastAsia="方正小标宋简体" w:cs="仿宋_GB2312"/>
          <w:color w:val="auto"/>
          <w:sz w:val="32"/>
          <w:szCs w:val="32"/>
          <w:lang w:val="en-US" w:eastAsia="zh-CN"/>
        </w:rPr>
      </w:pPr>
      <w:r>
        <w:rPr>
          <w:rFonts w:hint="eastAsia" w:ascii="Times New Roman" w:hAnsi="Times New Roman" w:eastAsia="方正小标宋简体" w:cs="方正小标宋简体"/>
          <w:color w:val="auto"/>
          <w:spacing w:val="-11"/>
          <w:sz w:val="44"/>
          <w:szCs w:val="44"/>
        </w:rPr>
        <w:t>公建民营管理工作的通知</w:t>
      </w:r>
    </w:p>
    <w:p w14:paraId="4F9D46FA">
      <w:pPr>
        <w:keepNext w:val="0"/>
        <w:keepLines w:val="0"/>
        <w:pageBreakBefore w:val="0"/>
        <w:widowControl w:val="0"/>
        <w:kinsoku/>
        <w:wordWrap w:val="0"/>
        <w:overflowPunct/>
        <w:topLinePunct w:val="0"/>
        <w:autoSpaceDE/>
        <w:autoSpaceDN/>
        <w:bidi w:val="0"/>
        <w:adjustRightInd/>
        <w:snapToGrid/>
        <w:spacing w:beforeAutospacing="0" w:afterAutospacing="0" w:line="560" w:lineRule="exact"/>
        <w:ind w:left="0" w:leftChars="0" w:firstLine="0" w:firstLineChars="0"/>
        <w:textAlignment w:val="auto"/>
        <w:rPr>
          <w:rFonts w:hint="eastAsia" w:cs="仿宋"/>
          <w:color w:val="auto"/>
          <w:sz w:val="32"/>
          <w:szCs w:val="32"/>
          <w:lang w:val="en-US" w:eastAsia="zh-CN"/>
        </w:rPr>
      </w:pPr>
    </w:p>
    <w:p w14:paraId="3EAB385B">
      <w:pPr>
        <w:keepNext w:val="0"/>
        <w:keepLines w:val="0"/>
        <w:pageBreakBefore w:val="0"/>
        <w:widowControl w:val="0"/>
        <w:kinsoku/>
        <w:wordWrap w:val="0"/>
        <w:overflowPunct/>
        <w:topLinePunct w:val="0"/>
        <w:autoSpaceDE/>
        <w:autoSpaceDN/>
        <w:bidi w:val="0"/>
        <w:adjustRightInd/>
        <w:snapToGrid/>
        <w:spacing w:beforeAutospacing="0" w:afterAutospacing="0" w:line="560" w:lineRule="exact"/>
        <w:ind w:left="0" w:leftChars="0" w:firstLine="0" w:firstLineChars="0"/>
        <w:textAlignment w:val="auto"/>
        <w:rPr>
          <w:rFonts w:hint="default" w:ascii="Times New Roman" w:hAnsi="Times New Roman" w:eastAsia="仿宋" w:cs="仿宋"/>
          <w:color w:val="auto"/>
          <w:sz w:val="32"/>
          <w:szCs w:val="32"/>
          <w:lang w:val="en-US" w:eastAsia="zh-CN"/>
        </w:rPr>
      </w:pPr>
      <w:r>
        <w:rPr>
          <w:rFonts w:hint="eastAsia" w:ascii="Times New Roman" w:hAnsi="Times New Roman" w:eastAsia="仿宋" w:cs="仿宋"/>
          <w:color w:val="auto"/>
          <w:sz w:val="32"/>
          <w:szCs w:val="32"/>
          <w:lang w:val="en-US" w:eastAsia="zh-CN"/>
        </w:rPr>
        <w:t>各区民政局：</w:t>
      </w:r>
    </w:p>
    <w:p w14:paraId="3AF83DB4">
      <w:pPr>
        <w:keepNext w:val="0"/>
        <w:keepLines w:val="0"/>
        <w:pageBreakBefore w:val="0"/>
        <w:widowControl w:val="0"/>
        <w:kinsoku/>
        <w:wordWrap w:val="0"/>
        <w:overflowPunct/>
        <w:topLinePunct w:val="0"/>
        <w:autoSpaceDE/>
        <w:autoSpaceDN/>
        <w:bidi w:val="0"/>
        <w:adjustRightInd/>
        <w:snapToGrid/>
        <w:spacing w:beforeAutospacing="0" w:afterAutospacing="0" w:line="540" w:lineRule="exact"/>
        <w:textAlignment w:val="auto"/>
        <w:rPr>
          <w:rFonts w:hint="eastAsia" w:ascii="Times New Roman" w:hAnsi="Times New Roman" w:eastAsia="仿宋" w:cs="仿宋"/>
          <w:color w:val="auto"/>
          <w:sz w:val="32"/>
          <w:szCs w:val="32"/>
        </w:rPr>
      </w:pPr>
      <w:r>
        <w:rPr>
          <w:rFonts w:hint="eastAsia" w:ascii="Times New Roman" w:hAnsi="Times New Roman" w:eastAsia="仿宋" w:cs="仿宋"/>
          <w:color w:val="auto"/>
          <w:sz w:val="32"/>
          <w:szCs w:val="32"/>
        </w:rPr>
        <w:t>为进一步增强社会力量参与养老服务事业的积极性，规范养老服务</w:t>
      </w:r>
      <w:r>
        <w:rPr>
          <w:rFonts w:hint="eastAsia" w:cs="仿宋"/>
          <w:color w:val="auto"/>
          <w:sz w:val="32"/>
          <w:szCs w:val="32"/>
          <w:lang w:eastAsia="zh-CN"/>
        </w:rPr>
        <w:t>设施</w:t>
      </w:r>
      <w:r>
        <w:rPr>
          <w:rFonts w:hint="eastAsia" w:ascii="Times New Roman" w:hAnsi="Times New Roman" w:eastAsia="仿宋" w:cs="仿宋"/>
          <w:color w:val="auto"/>
          <w:sz w:val="32"/>
          <w:szCs w:val="32"/>
        </w:rPr>
        <w:t>公建民营运营和管理，加快推进养老服务高质量发展，根据《养老机构管理办法》《天津市养老服务促进条例》等法律法规和文件精神，</w:t>
      </w:r>
      <w:r>
        <w:rPr>
          <w:rFonts w:hint="eastAsia" w:cs="仿宋"/>
          <w:color w:val="auto"/>
          <w:sz w:val="32"/>
          <w:szCs w:val="32"/>
          <w:lang w:eastAsia="zh-CN"/>
        </w:rPr>
        <w:t>现就有关事项</w:t>
      </w:r>
      <w:r>
        <w:rPr>
          <w:rFonts w:hint="eastAsia" w:cs="仿宋"/>
          <w:color w:val="auto"/>
          <w:sz w:val="32"/>
          <w:szCs w:val="32"/>
          <w:lang w:val="en-US" w:eastAsia="zh-CN"/>
        </w:rPr>
        <w:t>通知如下：</w:t>
      </w:r>
    </w:p>
    <w:p w14:paraId="009BF80D">
      <w:pPr>
        <w:pStyle w:val="2"/>
        <w:keepNext w:val="0"/>
        <w:keepLines w:val="0"/>
        <w:pageBreakBefore w:val="0"/>
        <w:widowControl w:val="0"/>
        <w:tabs>
          <w:tab w:val="left" w:pos="0"/>
        </w:tabs>
        <w:kinsoku/>
        <w:wordWrap w:val="0"/>
        <w:overflowPunct/>
        <w:topLinePunct w:val="0"/>
        <w:autoSpaceDE/>
        <w:autoSpaceDN/>
        <w:bidi w:val="0"/>
        <w:adjustRightInd/>
        <w:snapToGrid/>
        <w:spacing w:beforeAutospacing="0" w:afterAutospacing="0" w:line="540" w:lineRule="exact"/>
        <w:ind w:firstLine="632" w:firstLineChars="200"/>
        <w:textAlignment w:val="auto"/>
        <w:rPr>
          <w:rFonts w:hint="eastAsia" w:ascii="黑体" w:hAnsi="黑体" w:eastAsia="黑体" w:cs="黑体"/>
          <w:b w:val="0"/>
          <w:bCs/>
          <w:color w:val="auto"/>
          <w:sz w:val="32"/>
          <w:szCs w:val="32"/>
          <w:lang w:val="en-US" w:eastAsia="zh-CN"/>
        </w:rPr>
      </w:pPr>
      <w:r>
        <w:rPr>
          <w:rFonts w:hint="eastAsia" w:ascii="黑体" w:hAnsi="黑体" w:eastAsia="黑体" w:cs="黑体"/>
          <w:b w:val="0"/>
          <w:bCs w:val="0"/>
          <w:color w:val="auto"/>
          <w:sz w:val="32"/>
          <w:szCs w:val="32"/>
          <w:lang w:val="en-US" w:eastAsia="zh-CN"/>
        </w:rPr>
        <w:t>一、</w:t>
      </w:r>
      <w:r>
        <w:rPr>
          <w:rFonts w:hint="eastAsia" w:ascii="黑体" w:hAnsi="黑体" w:eastAsia="黑体" w:cs="黑体"/>
          <w:b w:val="0"/>
          <w:bCs/>
          <w:color w:val="auto"/>
          <w:sz w:val="32"/>
          <w:szCs w:val="32"/>
          <w:lang w:val="en-US" w:eastAsia="zh-CN"/>
        </w:rPr>
        <w:t>适用范围</w:t>
      </w:r>
    </w:p>
    <w:p w14:paraId="4CC54019">
      <w:pPr>
        <w:pStyle w:val="2"/>
        <w:keepNext w:val="0"/>
        <w:keepLines w:val="0"/>
        <w:pageBreakBefore w:val="0"/>
        <w:widowControl w:val="0"/>
        <w:tabs>
          <w:tab w:val="left" w:pos="0"/>
        </w:tabs>
        <w:kinsoku/>
        <w:wordWrap w:val="0"/>
        <w:overflowPunct/>
        <w:topLinePunct w:val="0"/>
        <w:autoSpaceDE/>
        <w:autoSpaceDN/>
        <w:bidi w:val="0"/>
        <w:adjustRightInd/>
        <w:snapToGrid/>
        <w:spacing w:beforeAutospacing="0" w:afterAutospacing="0" w:line="540" w:lineRule="exact"/>
        <w:ind w:firstLine="632" w:firstLineChars="200"/>
        <w:textAlignment w:val="auto"/>
        <w:rPr>
          <w:rFonts w:hint="eastAsia" w:ascii="仿宋" w:hAnsi="仿宋" w:eastAsia="仿宋" w:cs="仿宋"/>
          <w:b w:val="0"/>
          <w:bCs/>
          <w:color w:val="auto"/>
          <w:sz w:val="32"/>
          <w:szCs w:val="32"/>
          <w:lang w:val="en-US" w:eastAsia="zh-CN"/>
        </w:rPr>
      </w:pPr>
      <w:r>
        <w:rPr>
          <w:rFonts w:hint="eastAsia" w:ascii="仿宋" w:hAnsi="仿宋" w:eastAsia="仿宋" w:cs="仿宋"/>
          <w:b w:val="0"/>
          <w:bCs/>
          <w:color w:val="auto"/>
          <w:sz w:val="32"/>
          <w:szCs w:val="32"/>
          <w:lang w:val="en-US" w:eastAsia="zh-CN"/>
        </w:rPr>
        <w:t>本通知所称“公建民营”，是指政府将其拥有所有权或使用权的养老服务设施，整体委托给社会力量运营，用于设立养老机构、</w:t>
      </w:r>
      <w:bookmarkStart w:id="0" w:name="_GoBack"/>
      <w:bookmarkEnd w:id="0"/>
      <w:r>
        <w:rPr>
          <w:rFonts w:hint="eastAsia" w:ascii="仿宋" w:hAnsi="仿宋" w:eastAsia="仿宋" w:cs="仿宋"/>
          <w:b w:val="0"/>
          <w:bCs/>
          <w:color w:val="auto"/>
          <w:sz w:val="32"/>
          <w:szCs w:val="32"/>
          <w:lang w:val="en-US" w:eastAsia="zh-CN"/>
        </w:rPr>
        <w:t>养老服务综合体、老年日间照料服务中心的模式。</w:t>
      </w:r>
    </w:p>
    <w:p w14:paraId="77EB765D">
      <w:pPr>
        <w:pStyle w:val="2"/>
        <w:keepNext w:val="0"/>
        <w:keepLines w:val="0"/>
        <w:pageBreakBefore w:val="0"/>
        <w:widowControl w:val="0"/>
        <w:tabs>
          <w:tab w:val="left" w:pos="0"/>
        </w:tabs>
        <w:kinsoku/>
        <w:wordWrap w:val="0"/>
        <w:overflowPunct/>
        <w:topLinePunct w:val="0"/>
        <w:autoSpaceDE/>
        <w:autoSpaceDN/>
        <w:bidi w:val="0"/>
        <w:adjustRightInd/>
        <w:snapToGrid/>
        <w:spacing w:beforeAutospacing="0" w:afterAutospacing="0" w:line="540" w:lineRule="exact"/>
        <w:ind w:firstLine="632" w:firstLineChars="200"/>
        <w:textAlignment w:val="auto"/>
        <w:rPr>
          <w:rFonts w:hint="eastAsia" w:ascii="仿宋" w:hAnsi="仿宋" w:eastAsia="仿宋" w:cs="仿宋"/>
          <w:b w:val="0"/>
          <w:bCs/>
          <w:color w:val="auto"/>
          <w:sz w:val="32"/>
          <w:szCs w:val="32"/>
          <w:lang w:val="en-US" w:eastAsia="zh-CN"/>
        </w:rPr>
      </w:pPr>
      <w:r>
        <w:rPr>
          <w:rFonts w:hint="eastAsia" w:ascii="仿宋" w:hAnsi="仿宋" w:eastAsia="仿宋" w:cs="仿宋"/>
          <w:b w:val="0"/>
          <w:bCs/>
          <w:color w:val="auto"/>
          <w:sz w:val="32"/>
          <w:szCs w:val="32"/>
          <w:lang w:val="en-US" w:eastAsia="zh-CN"/>
        </w:rPr>
        <w:t>各级政府出资兴建、改扩建、购置的养老服务设施，新建居住（小）区配套移交民政部门的养老服务设施，政府利用存量资源改建的养老服务设施，以及政府以部分固定资产投资、约定期限后权属归政府的养老服务设施，</w:t>
      </w:r>
      <w:r>
        <w:rPr>
          <w:rFonts w:hint="eastAsia" w:ascii="仿宋" w:hAnsi="仿宋" w:eastAsia="仿宋" w:cs="仿宋"/>
          <w:b w:val="0"/>
          <w:bCs/>
          <w:color w:val="auto"/>
          <w:sz w:val="32"/>
          <w:szCs w:val="32"/>
          <w:highlight w:val="none"/>
          <w:lang w:val="en-US" w:eastAsia="zh-CN"/>
        </w:rPr>
        <w:t>应纳</w:t>
      </w:r>
      <w:r>
        <w:rPr>
          <w:rFonts w:hint="eastAsia" w:ascii="仿宋" w:hAnsi="仿宋" w:eastAsia="仿宋" w:cs="仿宋"/>
          <w:b w:val="0"/>
          <w:bCs/>
          <w:color w:val="auto"/>
          <w:sz w:val="32"/>
          <w:szCs w:val="32"/>
          <w:lang w:val="en-US" w:eastAsia="zh-CN"/>
        </w:rPr>
        <w:t>入公建民营适用范围。市级民政部门统筹指导全市养老服务设施公建民营工作，</w:t>
      </w:r>
      <w:r>
        <w:rPr>
          <w:rFonts w:ascii="仿宋" w:hAnsi="仿宋" w:eastAsia="仿宋" w:cs="仿宋"/>
          <w:i w:val="0"/>
          <w:iCs w:val="0"/>
          <w:caps w:val="0"/>
          <w:color w:val="auto"/>
          <w:spacing w:val="0"/>
          <w:sz w:val="31"/>
          <w:szCs w:val="31"/>
          <w:shd w:val="clear" w:fill="FFFFFF"/>
        </w:rPr>
        <w:t>区级民政部门负责本辖区内</w:t>
      </w:r>
      <w:r>
        <w:rPr>
          <w:rFonts w:hint="eastAsia" w:ascii="仿宋" w:hAnsi="仿宋" w:eastAsia="仿宋" w:cs="仿宋"/>
          <w:b w:val="0"/>
          <w:bCs/>
          <w:color w:val="auto"/>
          <w:sz w:val="32"/>
          <w:szCs w:val="32"/>
          <w:lang w:val="en-US" w:eastAsia="zh-CN"/>
        </w:rPr>
        <w:t>养老服务设施</w:t>
      </w:r>
      <w:r>
        <w:rPr>
          <w:rFonts w:ascii="仿宋" w:hAnsi="仿宋" w:eastAsia="仿宋" w:cs="仿宋"/>
          <w:i w:val="0"/>
          <w:iCs w:val="0"/>
          <w:caps w:val="0"/>
          <w:color w:val="auto"/>
          <w:spacing w:val="0"/>
          <w:sz w:val="31"/>
          <w:szCs w:val="31"/>
          <w:shd w:val="clear" w:fill="FFFFFF"/>
        </w:rPr>
        <w:t>公建民营工作的组织实施</w:t>
      </w:r>
      <w:r>
        <w:rPr>
          <w:rFonts w:hint="eastAsia" w:ascii="仿宋" w:hAnsi="仿宋" w:eastAsia="仿宋" w:cs="仿宋"/>
          <w:i w:val="0"/>
          <w:iCs w:val="0"/>
          <w:caps w:val="0"/>
          <w:color w:val="auto"/>
          <w:spacing w:val="0"/>
          <w:sz w:val="31"/>
          <w:szCs w:val="31"/>
          <w:shd w:val="clear" w:fill="FFFFFF"/>
          <w:lang w:eastAsia="zh-CN"/>
        </w:rPr>
        <w:t>。</w:t>
      </w:r>
    </w:p>
    <w:p w14:paraId="35E80C4C">
      <w:pPr>
        <w:pStyle w:val="3"/>
        <w:keepNext w:val="0"/>
        <w:keepLines w:val="0"/>
        <w:pageBreakBefore w:val="0"/>
        <w:widowControl w:val="0"/>
        <w:kinsoku/>
        <w:wordWrap w:val="0"/>
        <w:overflowPunct/>
        <w:topLinePunct w:val="0"/>
        <w:autoSpaceDE/>
        <w:autoSpaceDN/>
        <w:bidi w:val="0"/>
        <w:adjustRightInd/>
        <w:snapToGrid/>
        <w:spacing w:after="0" w:line="540" w:lineRule="exact"/>
        <w:textAlignment w:val="auto"/>
        <w:rPr>
          <w:rFonts w:hint="default"/>
          <w:lang w:val="en-US" w:eastAsia="zh-CN"/>
        </w:rPr>
      </w:pPr>
      <w:r>
        <w:rPr>
          <w:rFonts w:hint="eastAsia" w:ascii="黑体" w:hAnsi="黑体" w:eastAsia="黑体" w:cs="黑体"/>
          <w:lang w:val="en-US" w:eastAsia="zh-CN"/>
        </w:rPr>
        <w:t>二、工作要求</w:t>
      </w:r>
    </w:p>
    <w:p w14:paraId="4AAB12A7">
      <w:pPr>
        <w:pStyle w:val="4"/>
        <w:keepLines w:val="0"/>
        <w:pageBreakBefore w:val="0"/>
        <w:widowControl w:val="0"/>
        <w:tabs>
          <w:tab w:val="left" w:pos="0"/>
        </w:tabs>
        <w:kinsoku/>
        <w:wordWrap w:val="0"/>
        <w:overflowPunct/>
        <w:topLinePunct w:val="0"/>
        <w:autoSpaceDE/>
        <w:autoSpaceDN/>
        <w:bidi w:val="0"/>
        <w:adjustRightInd/>
        <w:snapToGrid/>
        <w:spacing w:beforeAutospacing="0" w:afterAutospacing="0" w:line="540" w:lineRule="exact"/>
        <w:ind w:firstLine="632" w:firstLineChars="200"/>
        <w:textAlignment w:val="auto"/>
        <w:rPr>
          <w:rFonts w:hint="eastAsia" w:ascii="Times New Roman" w:hAnsi="Times New Roman" w:eastAsia="楷体" w:cs="楷体"/>
          <w:b w:val="0"/>
          <w:bCs w:val="0"/>
          <w:color w:val="auto"/>
          <w:sz w:val="32"/>
          <w:szCs w:val="32"/>
        </w:rPr>
      </w:pPr>
      <w:r>
        <w:rPr>
          <w:rFonts w:hint="eastAsia" w:ascii="楷体" w:hAnsi="楷体" w:eastAsia="楷体" w:cs="楷体"/>
          <w:b w:val="0"/>
          <w:bCs w:val="0"/>
          <w:color w:val="auto"/>
          <w:sz w:val="32"/>
          <w:szCs w:val="32"/>
          <w:lang w:eastAsia="zh-CN"/>
        </w:rPr>
        <w:t>（</w:t>
      </w:r>
      <w:r>
        <w:rPr>
          <w:rFonts w:hint="eastAsia" w:ascii="楷体" w:hAnsi="楷体" w:eastAsia="楷体" w:cs="楷体"/>
          <w:b w:val="0"/>
          <w:bCs w:val="0"/>
          <w:color w:val="auto"/>
          <w:sz w:val="32"/>
          <w:szCs w:val="32"/>
          <w:lang w:val="en-US" w:eastAsia="zh-CN"/>
        </w:rPr>
        <w:t>一</w:t>
      </w:r>
      <w:r>
        <w:rPr>
          <w:rFonts w:hint="eastAsia" w:ascii="楷体" w:hAnsi="楷体" w:eastAsia="楷体" w:cs="楷体"/>
          <w:b w:val="0"/>
          <w:bCs w:val="0"/>
          <w:color w:val="auto"/>
          <w:sz w:val="32"/>
          <w:szCs w:val="32"/>
          <w:lang w:eastAsia="zh-CN"/>
        </w:rPr>
        <w:t>）</w:t>
      </w:r>
      <w:r>
        <w:rPr>
          <w:rFonts w:hint="eastAsia" w:ascii="楷体" w:hAnsi="楷体" w:eastAsia="楷体" w:cs="楷体"/>
          <w:b w:val="0"/>
          <w:bCs w:val="0"/>
          <w:color w:val="auto"/>
          <w:sz w:val="32"/>
          <w:szCs w:val="32"/>
        </w:rPr>
        <w:t>坚持兜底保障功能。</w:t>
      </w:r>
      <w:r>
        <w:rPr>
          <w:rFonts w:hint="eastAsia" w:ascii="Times New Roman" w:hAnsi="Times New Roman" w:eastAsia="仿宋" w:cs="仿宋"/>
          <w:b w:val="0"/>
          <w:bCs w:val="0"/>
          <w:color w:val="auto"/>
          <w:sz w:val="32"/>
          <w:szCs w:val="32"/>
        </w:rPr>
        <w:t>公建民营养老</w:t>
      </w:r>
      <w:r>
        <w:rPr>
          <w:rFonts w:hint="eastAsia" w:cs="仿宋"/>
          <w:b w:val="0"/>
          <w:bCs w:val="0"/>
          <w:color w:val="auto"/>
          <w:sz w:val="32"/>
          <w:szCs w:val="32"/>
          <w:lang w:eastAsia="zh-CN"/>
        </w:rPr>
        <w:t>服务设施</w:t>
      </w:r>
      <w:r>
        <w:rPr>
          <w:rFonts w:hint="eastAsia" w:ascii="Times New Roman" w:hAnsi="Times New Roman" w:eastAsia="仿宋" w:cs="仿宋"/>
          <w:b w:val="0"/>
          <w:bCs w:val="0"/>
          <w:color w:val="auto"/>
          <w:sz w:val="32"/>
          <w:szCs w:val="32"/>
        </w:rPr>
        <w:t>应坚持兜底保障功能，在满足有意愿的特困人员中老年人集中供养需求的前提下，重点为经济困难的</w:t>
      </w:r>
      <w:r>
        <w:rPr>
          <w:rFonts w:hint="eastAsia" w:cs="仿宋"/>
          <w:b w:val="0"/>
          <w:bCs w:val="0"/>
          <w:color w:val="auto"/>
          <w:sz w:val="32"/>
          <w:szCs w:val="32"/>
          <w:lang w:eastAsia="zh-CN"/>
        </w:rPr>
        <w:t>孤寡、</w:t>
      </w:r>
      <w:r>
        <w:rPr>
          <w:rFonts w:hint="eastAsia" w:ascii="Times New Roman" w:hAnsi="Times New Roman" w:eastAsia="仿宋" w:cs="仿宋"/>
          <w:b w:val="0"/>
          <w:bCs w:val="0"/>
          <w:color w:val="auto"/>
          <w:sz w:val="32"/>
          <w:szCs w:val="32"/>
        </w:rPr>
        <w:t>空巢、留守、失能、残疾、高龄老年人以及计划生育特殊家庭老年人等提供服务。</w:t>
      </w:r>
    </w:p>
    <w:p w14:paraId="3BD4E5F3">
      <w:pPr>
        <w:pStyle w:val="4"/>
        <w:keepNext w:val="0"/>
        <w:keepLines w:val="0"/>
        <w:pageBreakBefore w:val="0"/>
        <w:widowControl w:val="0"/>
        <w:tabs>
          <w:tab w:val="left" w:pos="0"/>
        </w:tabs>
        <w:kinsoku/>
        <w:wordWrap w:val="0"/>
        <w:overflowPunct/>
        <w:topLinePunct w:val="0"/>
        <w:autoSpaceDE/>
        <w:autoSpaceDN/>
        <w:bidi w:val="0"/>
        <w:adjustRightInd/>
        <w:snapToGrid/>
        <w:spacing w:beforeAutospacing="0" w:afterAutospacing="0" w:line="540" w:lineRule="exact"/>
        <w:ind w:firstLine="632" w:firstLineChars="200"/>
        <w:textAlignment w:val="auto"/>
        <w:rPr>
          <w:rFonts w:hint="eastAsia" w:ascii="Times New Roman" w:hAnsi="Times New Roman" w:eastAsia="仿宋" w:cs="仿宋"/>
          <w:b w:val="0"/>
          <w:bCs w:val="0"/>
          <w:color w:val="auto"/>
          <w:sz w:val="32"/>
          <w:szCs w:val="32"/>
        </w:rPr>
      </w:pPr>
      <w:r>
        <w:rPr>
          <w:rFonts w:hint="eastAsia" w:ascii="楷体" w:hAnsi="楷体" w:eastAsia="楷体" w:cs="楷体"/>
          <w:b w:val="0"/>
          <w:bCs w:val="0"/>
          <w:color w:val="auto"/>
          <w:sz w:val="32"/>
          <w:szCs w:val="32"/>
          <w:lang w:eastAsia="zh-CN"/>
        </w:rPr>
        <w:t>（</w:t>
      </w:r>
      <w:r>
        <w:rPr>
          <w:rFonts w:hint="eastAsia" w:ascii="楷体" w:hAnsi="楷体" w:eastAsia="楷体" w:cs="楷体"/>
          <w:b w:val="0"/>
          <w:bCs w:val="0"/>
          <w:color w:val="auto"/>
          <w:sz w:val="32"/>
          <w:szCs w:val="32"/>
          <w:lang w:val="en-US" w:eastAsia="zh-CN"/>
        </w:rPr>
        <w:t>二</w:t>
      </w:r>
      <w:r>
        <w:rPr>
          <w:rFonts w:hint="eastAsia" w:ascii="楷体" w:hAnsi="楷体" w:eastAsia="楷体" w:cs="楷体"/>
          <w:b w:val="0"/>
          <w:bCs w:val="0"/>
          <w:color w:val="auto"/>
          <w:sz w:val="32"/>
          <w:szCs w:val="32"/>
          <w:lang w:eastAsia="zh-CN"/>
        </w:rPr>
        <w:t>）强化管放结合。</w:t>
      </w:r>
      <w:r>
        <w:rPr>
          <w:rFonts w:hint="eastAsia" w:ascii="Times New Roman" w:hAnsi="Times New Roman" w:eastAsia="仿宋" w:cs="仿宋"/>
          <w:b w:val="0"/>
          <w:bCs w:val="0"/>
          <w:color w:val="auto"/>
          <w:sz w:val="32"/>
          <w:szCs w:val="32"/>
        </w:rPr>
        <w:t>强化政府在规划布局、政策制定、监管评估等方面的主导作用，同时充分发挥市场机制在运营效率、服务创新上的优势，通过公开透明的方式选择具备资质的社会力量参与运营，形成“政府保基本、市场供多元”的协同发展格局。</w:t>
      </w:r>
    </w:p>
    <w:p w14:paraId="602CD22B">
      <w:pPr>
        <w:keepLines w:val="0"/>
        <w:pageBreakBefore w:val="0"/>
        <w:widowControl w:val="0"/>
        <w:numPr>
          <w:ilvl w:val="0"/>
          <w:numId w:val="0"/>
        </w:numPr>
        <w:kinsoku/>
        <w:wordWrap w:val="0"/>
        <w:overflowPunct/>
        <w:topLinePunct w:val="0"/>
        <w:autoSpaceDE/>
        <w:autoSpaceDN/>
        <w:bidi w:val="0"/>
        <w:adjustRightInd/>
        <w:snapToGrid/>
        <w:spacing w:beforeAutospacing="0" w:afterAutospacing="0" w:line="540" w:lineRule="exact"/>
        <w:ind w:firstLine="632" w:firstLineChars="200"/>
        <w:textAlignment w:val="auto"/>
        <w:rPr>
          <w:rFonts w:hint="eastAsia" w:ascii="Times New Roman" w:hAnsi="Times New Roman" w:eastAsia="仿宋" w:cs="仿宋"/>
          <w:b w:val="0"/>
          <w:bCs/>
          <w:color w:val="auto"/>
          <w:sz w:val="32"/>
          <w:szCs w:val="32"/>
          <w:lang w:val="en-US" w:eastAsia="zh-CN"/>
        </w:rPr>
      </w:pPr>
      <w:r>
        <w:rPr>
          <w:rFonts w:hint="eastAsia" w:ascii="楷体" w:hAnsi="楷体" w:eastAsia="楷体" w:cs="楷体"/>
          <w:b w:val="0"/>
          <w:bCs w:val="0"/>
          <w:color w:val="auto"/>
          <w:kern w:val="2"/>
          <w:sz w:val="32"/>
          <w:szCs w:val="32"/>
          <w:lang w:val="en-US" w:eastAsia="zh-CN" w:bidi="ar-SA"/>
        </w:rPr>
        <w:t>（三）确保国有资产安全。</w:t>
      </w:r>
      <w:r>
        <w:rPr>
          <w:rFonts w:hint="eastAsia" w:ascii="Times New Roman" w:hAnsi="Times New Roman" w:eastAsia="仿宋" w:cs="仿宋"/>
          <w:b w:val="0"/>
          <w:bCs/>
          <w:color w:val="auto"/>
          <w:sz w:val="32"/>
          <w:szCs w:val="32"/>
          <w:lang w:val="en-US" w:eastAsia="zh-CN"/>
        </w:rPr>
        <w:t>委托运营前，依法依规核定国有资产价值和国有资产折旧费用，明确产权单位和运营机构之间的责权利关系。强化国有资产监管，保持土地、设施等固定资产的国有属性，不得擅自出租、出借、处置国有资产，不得将国有资产进行抵押、融资、贷款，严防国有资产流失。</w:t>
      </w:r>
    </w:p>
    <w:p w14:paraId="41F4435D">
      <w:pPr>
        <w:keepLines w:val="0"/>
        <w:pageBreakBefore w:val="0"/>
        <w:widowControl w:val="0"/>
        <w:numPr>
          <w:ilvl w:val="0"/>
          <w:numId w:val="0"/>
        </w:numPr>
        <w:kinsoku/>
        <w:wordWrap w:val="0"/>
        <w:overflowPunct/>
        <w:topLinePunct w:val="0"/>
        <w:autoSpaceDE/>
        <w:autoSpaceDN/>
        <w:bidi w:val="0"/>
        <w:adjustRightInd/>
        <w:snapToGrid/>
        <w:spacing w:beforeAutospacing="0" w:afterAutospacing="0" w:line="540" w:lineRule="exact"/>
        <w:ind w:firstLine="632" w:firstLineChars="200"/>
        <w:textAlignment w:val="auto"/>
        <w:rPr>
          <w:rFonts w:hint="eastAsia" w:ascii="Times New Roman" w:hAnsi="Times New Roman" w:eastAsia="仿宋" w:cs="仿宋"/>
          <w:b w:val="0"/>
          <w:bCs w:val="0"/>
          <w:color w:val="auto"/>
          <w:sz w:val="32"/>
          <w:szCs w:val="32"/>
        </w:rPr>
      </w:pPr>
      <w:r>
        <w:rPr>
          <w:rFonts w:hint="eastAsia" w:ascii="楷体" w:hAnsi="楷体" w:eastAsia="楷体" w:cs="楷体"/>
          <w:b w:val="0"/>
          <w:bCs w:val="0"/>
          <w:color w:val="auto"/>
          <w:kern w:val="2"/>
          <w:sz w:val="32"/>
          <w:szCs w:val="32"/>
          <w:lang w:val="en-US" w:eastAsia="zh-CN" w:bidi="ar-SA"/>
        </w:rPr>
        <w:t>（四）持续提高服务质量。</w:t>
      </w:r>
      <w:r>
        <w:rPr>
          <w:rFonts w:hint="eastAsia" w:ascii="Times New Roman" w:hAnsi="Times New Roman" w:eastAsia="仿宋" w:cs="仿宋"/>
          <w:b w:val="0"/>
          <w:bCs/>
          <w:color w:val="auto"/>
          <w:sz w:val="32"/>
          <w:szCs w:val="32"/>
          <w:lang w:val="en-US" w:eastAsia="zh-CN"/>
        </w:rPr>
        <w:t>公建民营养老服务</w:t>
      </w:r>
      <w:r>
        <w:rPr>
          <w:rFonts w:hint="eastAsia" w:cs="仿宋"/>
          <w:b w:val="0"/>
          <w:bCs/>
          <w:color w:val="auto"/>
          <w:sz w:val="32"/>
          <w:szCs w:val="32"/>
          <w:lang w:val="en-US" w:eastAsia="zh-CN"/>
        </w:rPr>
        <w:t>设施</w:t>
      </w:r>
      <w:r>
        <w:rPr>
          <w:rFonts w:hint="eastAsia" w:ascii="Times New Roman" w:hAnsi="Times New Roman" w:eastAsia="仿宋" w:cs="仿宋"/>
          <w:b w:val="0"/>
          <w:bCs/>
          <w:color w:val="auto"/>
          <w:sz w:val="32"/>
          <w:szCs w:val="32"/>
          <w:lang w:val="en-US" w:eastAsia="zh-CN"/>
        </w:rPr>
        <w:t>要以老年人实际需求为导向，不断提升服务水平，</w:t>
      </w:r>
      <w:r>
        <w:rPr>
          <w:rFonts w:hint="eastAsia" w:cs="仿宋"/>
          <w:bCs/>
          <w:color w:val="auto"/>
        </w:rPr>
        <w:t>同时积极承担养老服务标准制定、从业人员实训培训等职能，发挥示范引领、品牌推广与形象宣传的作用，为老年人提供专业化、便捷化、品质化的服务。</w:t>
      </w:r>
    </w:p>
    <w:p w14:paraId="4C341BFC">
      <w:pPr>
        <w:pStyle w:val="2"/>
        <w:keepNext w:val="0"/>
        <w:keepLines w:val="0"/>
        <w:pageBreakBefore w:val="0"/>
        <w:widowControl w:val="0"/>
        <w:tabs>
          <w:tab w:val="left" w:pos="0"/>
        </w:tabs>
        <w:kinsoku/>
        <w:wordWrap w:val="0"/>
        <w:overflowPunct/>
        <w:topLinePunct w:val="0"/>
        <w:autoSpaceDE/>
        <w:autoSpaceDN/>
        <w:bidi w:val="0"/>
        <w:adjustRightInd/>
        <w:snapToGrid/>
        <w:spacing w:beforeAutospacing="0" w:afterAutospacing="0" w:line="540" w:lineRule="exact"/>
        <w:ind w:firstLine="632" w:firstLineChars="200"/>
        <w:textAlignment w:val="auto"/>
        <w:rPr>
          <w:rFonts w:hint="default" w:ascii="仿宋" w:hAnsi="仿宋" w:eastAsia="仿宋" w:cs="仿宋"/>
          <w:b w:val="0"/>
          <w:bCs/>
          <w:color w:val="auto"/>
          <w:sz w:val="32"/>
          <w:szCs w:val="32"/>
          <w:lang w:val="en-US" w:eastAsia="zh-CN"/>
        </w:rPr>
      </w:pPr>
      <w:r>
        <w:rPr>
          <w:rFonts w:hint="eastAsia" w:ascii="黑体" w:hAnsi="黑体" w:eastAsia="黑体" w:cs="黑体"/>
          <w:b w:val="0"/>
          <w:bCs/>
          <w:color w:val="auto"/>
          <w:sz w:val="32"/>
          <w:szCs w:val="32"/>
          <w:lang w:val="en-US" w:eastAsia="zh-CN"/>
        </w:rPr>
        <w:t>三、重点任务</w:t>
      </w:r>
    </w:p>
    <w:p w14:paraId="6DCF7C7F">
      <w:pPr>
        <w:pStyle w:val="2"/>
        <w:widowControl w:val="0"/>
        <w:tabs>
          <w:tab w:val="left" w:pos="0"/>
        </w:tabs>
        <w:wordWrap w:val="0"/>
        <w:spacing w:line="540" w:lineRule="exact"/>
        <w:ind w:firstLine="632"/>
        <w:rPr>
          <w:rFonts w:hint="eastAsia" w:ascii="仿宋" w:hAnsi="仿宋" w:eastAsia="仿宋" w:cs="仿宋"/>
          <w:b w:val="0"/>
          <w:bCs/>
          <w:color w:val="auto"/>
          <w:sz w:val="32"/>
          <w:szCs w:val="32"/>
          <w:lang w:val="en-US" w:eastAsia="zh-CN"/>
        </w:rPr>
      </w:pPr>
      <w:r>
        <w:rPr>
          <w:rFonts w:hint="eastAsia" w:ascii="楷体" w:hAnsi="楷体" w:eastAsia="楷体" w:cs="楷体"/>
          <w:b w:val="0"/>
          <w:bCs/>
          <w:color w:val="auto"/>
          <w:sz w:val="32"/>
          <w:szCs w:val="32"/>
          <w:lang w:val="en-US" w:eastAsia="zh-CN"/>
        </w:rPr>
        <w:t>（一）规范筛选流程。</w:t>
      </w:r>
      <w:r>
        <w:rPr>
          <w:rFonts w:hint="eastAsia" w:ascii="仿宋" w:hAnsi="仿宋" w:eastAsia="仿宋" w:cs="仿宋"/>
          <w:b w:val="0"/>
          <w:bCs/>
          <w:color w:val="auto"/>
          <w:sz w:val="32"/>
          <w:szCs w:val="32"/>
          <w:lang w:val="en-US" w:eastAsia="zh-CN"/>
        </w:rPr>
        <w:t>区级民政部门应指导委托方做好运营方</w:t>
      </w:r>
      <w:r>
        <w:rPr>
          <w:rFonts w:hint="eastAsia" w:ascii="仿宋" w:hAnsi="仿宋" w:cs="仿宋"/>
          <w:b w:val="0"/>
          <w:bCs/>
          <w:color w:val="auto"/>
          <w:sz w:val="32"/>
          <w:szCs w:val="32"/>
          <w:lang w:val="en-US" w:eastAsia="zh-CN"/>
        </w:rPr>
        <w:t>筛</w:t>
      </w:r>
      <w:r>
        <w:rPr>
          <w:rFonts w:hint="eastAsia" w:ascii="仿宋" w:hAnsi="仿宋" w:eastAsia="仿宋" w:cs="仿宋"/>
          <w:b w:val="0"/>
          <w:bCs/>
          <w:color w:val="auto"/>
          <w:sz w:val="32"/>
          <w:szCs w:val="32"/>
          <w:lang w:val="en-US" w:eastAsia="zh-CN"/>
        </w:rPr>
        <w:t>选工作，原则上要求采用公开招标方式；确需采用其他方式的，应督促委托方向社会全面公开</w:t>
      </w:r>
      <w:r>
        <w:rPr>
          <w:rFonts w:hint="eastAsia" w:ascii="仿宋" w:hAnsi="仿宋" w:cs="仿宋"/>
          <w:b w:val="0"/>
          <w:bCs/>
          <w:color w:val="auto"/>
          <w:sz w:val="32"/>
          <w:szCs w:val="32"/>
          <w:lang w:val="en-US" w:eastAsia="zh-CN"/>
        </w:rPr>
        <w:t>筛</w:t>
      </w:r>
      <w:r>
        <w:rPr>
          <w:rFonts w:hint="eastAsia" w:ascii="仿宋" w:hAnsi="仿宋" w:eastAsia="仿宋" w:cs="仿宋"/>
          <w:b w:val="0"/>
          <w:bCs/>
          <w:color w:val="auto"/>
          <w:sz w:val="32"/>
          <w:szCs w:val="32"/>
          <w:lang w:val="en-US" w:eastAsia="zh-CN"/>
        </w:rPr>
        <w:t>选条件、项目概况、合作期限等核心信息，并组织行业、财务、法律等领域专家开展论证，确保</w:t>
      </w:r>
      <w:r>
        <w:rPr>
          <w:rFonts w:hint="eastAsia" w:ascii="仿宋" w:hAnsi="仿宋" w:cs="仿宋"/>
          <w:b w:val="0"/>
          <w:bCs/>
          <w:color w:val="auto"/>
          <w:sz w:val="32"/>
          <w:szCs w:val="32"/>
          <w:lang w:val="en-US" w:eastAsia="zh-CN"/>
        </w:rPr>
        <w:t>筛</w:t>
      </w:r>
      <w:r>
        <w:rPr>
          <w:rFonts w:hint="eastAsia" w:ascii="仿宋" w:hAnsi="仿宋" w:eastAsia="仿宋" w:cs="仿宋"/>
          <w:b w:val="0"/>
          <w:bCs/>
          <w:color w:val="auto"/>
          <w:sz w:val="32"/>
          <w:szCs w:val="32"/>
          <w:lang w:val="en-US" w:eastAsia="zh-CN"/>
        </w:rPr>
        <w:t>选过程公开透明、程序合规。</w:t>
      </w:r>
    </w:p>
    <w:p w14:paraId="32B474E5">
      <w:pPr>
        <w:pStyle w:val="3"/>
        <w:rPr>
          <w:rFonts w:hint="default"/>
          <w:highlight w:val="none"/>
          <w:lang w:val="en-US" w:eastAsia="zh-CN"/>
        </w:rPr>
      </w:pPr>
      <w:r>
        <w:rPr>
          <w:rFonts w:hint="eastAsia" w:ascii="楷体" w:hAnsi="楷体" w:eastAsia="楷体" w:cs="楷体"/>
          <w:b w:val="0"/>
          <w:bCs/>
          <w:color w:val="auto"/>
          <w:sz w:val="32"/>
          <w:szCs w:val="32"/>
          <w:highlight w:val="none"/>
          <w:lang w:val="en-US" w:eastAsia="zh-CN"/>
        </w:rPr>
        <w:t>（二）明确运营方资格。</w:t>
      </w:r>
      <w:r>
        <w:rPr>
          <w:rFonts w:hint="eastAsia"/>
          <w:highlight w:val="none"/>
          <w:lang w:val="en-US" w:eastAsia="zh-CN"/>
        </w:rPr>
        <w:t>区级民政部门应指导委托方通过核查工商登记信息、信用报告、服务资质证明等材料，严格审核运营方独立法人资格、经营服务范围（以养老服务为主，涵盖生活照料，康复护理，精神慰藉，文化娱乐等核心服务）、信用记录（三年内无重大违法及失信记录）。</w:t>
      </w:r>
    </w:p>
    <w:p w14:paraId="19290E58">
      <w:pPr>
        <w:pStyle w:val="3"/>
        <w:keepNext w:val="0"/>
        <w:keepLines w:val="0"/>
        <w:pageBreakBefore w:val="0"/>
        <w:widowControl w:val="0"/>
        <w:numPr>
          <w:ilvl w:val="0"/>
          <w:numId w:val="0"/>
        </w:numPr>
        <w:kinsoku/>
        <w:overflowPunct/>
        <w:topLinePunct w:val="0"/>
        <w:autoSpaceDE/>
        <w:autoSpaceDN/>
        <w:bidi w:val="0"/>
        <w:adjustRightInd/>
        <w:snapToGrid/>
        <w:spacing w:after="0" w:line="540" w:lineRule="exact"/>
        <w:ind w:firstLine="632" w:firstLineChars="200"/>
        <w:textAlignment w:val="auto"/>
        <w:rPr>
          <w:rFonts w:hint="eastAsia" w:ascii="仿宋" w:hAnsi="仿宋" w:eastAsia="仿宋" w:cs="仿宋"/>
          <w:b w:val="0"/>
          <w:bCs/>
          <w:color w:val="auto"/>
          <w:kern w:val="2"/>
          <w:sz w:val="32"/>
          <w:szCs w:val="32"/>
          <w:lang w:val="en-US" w:eastAsia="zh-CN" w:bidi="ar-SA"/>
        </w:rPr>
      </w:pPr>
      <w:r>
        <w:rPr>
          <w:rFonts w:hint="eastAsia" w:ascii="楷体" w:hAnsi="楷体" w:eastAsia="楷体" w:cs="楷体"/>
          <w:b w:val="0"/>
          <w:bCs/>
          <w:color w:val="auto"/>
          <w:kern w:val="2"/>
          <w:sz w:val="32"/>
          <w:szCs w:val="32"/>
          <w:lang w:val="en-US" w:eastAsia="zh-CN" w:bidi="ar-SA"/>
        </w:rPr>
        <w:t>（三）加强合同管理。</w:t>
      </w:r>
      <w:r>
        <w:rPr>
          <w:rFonts w:hint="eastAsia" w:ascii="仿宋" w:hAnsi="仿宋" w:cs="仿宋"/>
          <w:b w:val="0"/>
          <w:bCs/>
          <w:color w:val="auto"/>
          <w:kern w:val="2"/>
          <w:sz w:val="32"/>
          <w:szCs w:val="32"/>
          <w:lang w:val="en-US" w:eastAsia="zh-CN" w:bidi="ar-SA"/>
        </w:rPr>
        <w:t>区级民政部门</w:t>
      </w:r>
      <w:r>
        <w:rPr>
          <w:rFonts w:hint="eastAsia" w:ascii="仿宋" w:hAnsi="仿宋" w:eastAsia="仿宋" w:cs="仿宋"/>
          <w:b w:val="0"/>
          <w:bCs/>
          <w:color w:val="auto"/>
          <w:kern w:val="2"/>
          <w:sz w:val="32"/>
          <w:szCs w:val="32"/>
          <w:lang w:val="en-US" w:eastAsia="zh-CN" w:bidi="ar-SA"/>
        </w:rPr>
        <w:t>应指导委托方与运营方签订合同，合同需覆盖设施状况、服务标准、双方权责、费用与资产管理、合作期限与移交安排等核心事项，并明确基本服务对象保障等关键条款。合同签订后，</w:t>
      </w:r>
      <w:r>
        <w:rPr>
          <w:rFonts w:hint="eastAsia" w:ascii="仿宋" w:hAnsi="仿宋" w:cs="仿宋"/>
          <w:b w:val="0"/>
          <w:bCs/>
          <w:color w:val="auto"/>
          <w:kern w:val="2"/>
          <w:sz w:val="32"/>
          <w:szCs w:val="32"/>
          <w:lang w:val="en-US" w:eastAsia="zh-CN" w:bidi="ar-SA"/>
        </w:rPr>
        <w:t>区级民政部门</w:t>
      </w:r>
      <w:r>
        <w:rPr>
          <w:rFonts w:hint="eastAsia" w:ascii="仿宋" w:hAnsi="仿宋" w:eastAsia="仿宋" w:cs="仿宋"/>
          <w:b w:val="0"/>
          <w:bCs/>
          <w:color w:val="auto"/>
          <w:kern w:val="2"/>
          <w:sz w:val="32"/>
          <w:szCs w:val="32"/>
          <w:lang w:val="en-US" w:eastAsia="zh-CN" w:bidi="ar-SA"/>
        </w:rPr>
        <w:t>须及时将合同及相关资料建档留存，同时动态关注合同到期时间，督促委托方做好续签或交接等后续工作。</w:t>
      </w:r>
    </w:p>
    <w:p w14:paraId="7F0C1E76">
      <w:pPr>
        <w:pStyle w:val="3"/>
        <w:keepNext w:val="0"/>
        <w:keepLines w:val="0"/>
        <w:pageBreakBefore w:val="0"/>
        <w:widowControl w:val="0"/>
        <w:numPr>
          <w:ilvl w:val="0"/>
          <w:numId w:val="0"/>
        </w:numPr>
        <w:kinsoku/>
        <w:overflowPunct/>
        <w:topLinePunct w:val="0"/>
        <w:autoSpaceDE/>
        <w:autoSpaceDN/>
        <w:bidi w:val="0"/>
        <w:adjustRightInd/>
        <w:snapToGrid/>
        <w:spacing w:after="0" w:line="540" w:lineRule="exact"/>
        <w:ind w:firstLine="632" w:firstLineChars="200"/>
        <w:textAlignment w:val="auto"/>
        <w:rPr>
          <w:rFonts w:hint="eastAsia"/>
          <w:lang w:val="en-US" w:eastAsia="zh-CN"/>
        </w:rPr>
      </w:pPr>
      <w:r>
        <w:rPr>
          <w:rFonts w:hint="eastAsia" w:ascii="楷体" w:hAnsi="楷体" w:eastAsia="楷体" w:cs="楷体"/>
          <w:b w:val="0"/>
          <w:bCs/>
          <w:color w:val="auto"/>
          <w:kern w:val="2"/>
          <w:sz w:val="32"/>
          <w:szCs w:val="32"/>
          <w:lang w:val="en-US" w:eastAsia="zh-CN" w:bidi="ar-SA"/>
        </w:rPr>
        <w:t>（四）严守财务和收费制度。</w:t>
      </w:r>
      <w:r>
        <w:rPr>
          <w:rFonts w:hint="eastAsia" w:ascii="仿宋" w:hAnsi="仿宋" w:cs="仿宋"/>
          <w:b w:val="0"/>
          <w:bCs/>
          <w:color w:val="auto"/>
          <w:kern w:val="2"/>
          <w:sz w:val="32"/>
          <w:szCs w:val="32"/>
          <w:lang w:val="en-US" w:eastAsia="zh-CN" w:bidi="ar-SA"/>
        </w:rPr>
        <w:t>区级民政部门应督促运营方</w:t>
      </w:r>
      <w:r>
        <w:rPr>
          <w:rFonts w:hint="eastAsia"/>
          <w:lang w:val="en-US" w:eastAsia="zh-CN"/>
        </w:rPr>
        <w:t>建立规范财务制度</w:t>
      </w:r>
      <w:r>
        <w:rPr>
          <w:rFonts w:hint="eastAsia"/>
          <w:highlight w:val="none"/>
          <w:lang w:val="en-US" w:eastAsia="zh-CN"/>
        </w:rPr>
        <w:t>。</w:t>
      </w:r>
      <w:r>
        <w:rPr>
          <w:rFonts w:hint="eastAsia"/>
          <w:lang w:val="en-US" w:eastAsia="zh-CN"/>
        </w:rPr>
        <w:t>兜底保障对象收费按规定标准执行，社会老年人收费坚持普惠原则合理定价。要严格执行《天津市养老机构预收费管理办法》，禁止收取会员费。</w:t>
      </w:r>
    </w:p>
    <w:p w14:paraId="028746D9">
      <w:pPr>
        <w:pStyle w:val="2"/>
        <w:keepLines w:val="0"/>
        <w:pageBreakBefore w:val="0"/>
        <w:widowControl w:val="0"/>
        <w:tabs>
          <w:tab w:val="left" w:pos="0"/>
        </w:tabs>
        <w:kinsoku/>
        <w:wordWrap w:val="0"/>
        <w:overflowPunct/>
        <w:topLinePunct w:val="0"/>
        <w:autoSpaceDE/>
        <w:autoSpaceDN/>
        <w:bidi w:val="0"/>
        <w:adjustRightInd/>
        <w:snapToGrid/>
        <w:spacing w:line="540" w:lineRule="exact"/>
        <w:ind w:firstLine="632"/>
        <w:textAlignment w:val="auto"/>
        <w:rPr>
          <w:rFonts w:hint="eastAsia"/>
          <w:lang w:val="en-US" w:eastAsia="zh-CN"/>
        </w:rPr>
      </w:pPr>
      <w:r>
        <w:rPr>
          <w:rFonts w:hint="eastAsia" w:ascii="楷体" w:hAnsi="楷体" w:eastAsia="楷体" w:cs="楷体"/>
          <w:b w:val="0"/>
          <w:bCs/>
          <w:color w:val="auto"/>
          <w:sz w:val="32"/>
          <w:szCs w:val="32"/>
          <w:lang w:val="en-US" w:eastAsia="zh-CN"/>
        </w:rPr>
        <w:t>（五）</w:t>
      </w:r>
      <w:r>
        <w:rPr>
          <w:rFonts w:hint="eastAsia" w:ascii="楷体" w:hAnsi="楷体" w:cs="楷体"/>
          <w:b w:val="0"/>
          <w:bCs/>
          <w:color w:val="auto"/>
          <w:sz w:val="32"/>
          <w:szCs w:val="32"/>
          <w:lang w:val="en-US" w:eastAsia="zh-CN"/>
        </w:rPr>
        <w:t>落实优惠政策</w:t>
      </w:r>
      <w:r>
        <w:rPr>
          <w:rFonts w:hint="eastAsia" w:ascii="楷体" w:hAnsi="楷体" w:eastAsia="楷体" w:cs="楷体"/>
          <w:b w:val="0"/>
          <w:bCs/>
          <w:color w:val="auto"/>
          <w:sz w:val="32"/>
          <w:szCs w:val="32"/>
          <w:lang w:val="en-US" w:eastAsia="zh-CN"/>
        </w:rPr>
        <w:t>。</w:t>
      </w:r>
      <w:r>
        <w:rPr>
          <w:rFonts w:hint="eastAsia" w:ascii="仿宋" w:hAnsi="仿宋" w:eastAsia="仿宋" w:cs="仿宋"/>
          <w:b w:val="0"/>
          <w:bCs/>
          <w:color w:val="auto"/>
          <w:sz w:val="32"/>
          <w:szCs w:val="32"/>
          <w:lang w:val="en-US" w:eastAsia="zh-CN"/>
        </w:rPr>
        <w:t>市、区级民政部门按照职责分工落实公建民营养老服务设施建设和运营补贴政策。补贴由运营方申请，区级民政部门组织申报，经民政部门或委托方评估合格后发放。运营方按养老服务设施有关政策规定，享受水电气暖价格优惠和税费减免等。各区可结合实际，探索多种合作方式。</w:t>
      </w:r>
    </w:p>
    <w:p w14:paraId="35BF6008">
      <w:pPr>
        <w:pStyle w:val="2"/>
        <w:keepNext w:val="0"/>
        <w:keepLines w:val="0"/>
        <w:pageBreakBefore w:val="0"/>
        <w:widowControl w:val="0"/>
        <w:tabs>
          <w:tab w:val="left" w:pos="0"/>
        </w:tabs>
        <w:kinsoku/>
        <w:wordWrap w:val="0"/>
        <w:overflowPunct/>
        <w:topLinePunct w:val="0"/>
        <w:autoSpaceDE/>
        <w:autoSpaceDN/>
        <w:bidi w:val="0"/>
        <w:adjustRightInd/>
        <w:snapToGrid/>
        <w:spacing w:beforeAutospacing="0" w:afterAutospacing="0" w:line="540" w:lineRule="exact"/>
        <w:ind w:firstLine="632" w:firstLineChars="200"/>
        <w:textAlignment w:val="auto"/>
        <w:rPr>
          <w:rFonts w:hint="eastAsia" w:ascii="仿宋" w:hAnsi="仿宋" w:eastAsia="仿宋" w:cs="仿宋"/>
          <w:b w:val="0"/>
          <w:bCs/>
          <w:color w:val="auto"/>
          <w:sz w:val="32"/>
          <w:szCs w:val="32"/>
          <w:lang w:val="en-US" w:eastAsia="zh-CN"/>
        </w:rPr>
      </w:pPr>
      <w:r>
        <w:rPr>
          <w:rFonts w:hint="eastAsia" w:ascii="楷体" w:hAnsi="楷体" w:eastAsia="楷体" w:cs="楷体"/>
          <w:b w:val="0"/>
          <w:bCs/>
          <w:color w:val="auto"/>
          <w:sz w:val="32"/>
          <w:szCs w:val="32"/>
          <w:lang w:val="en-US" w:eastAsia="zh-CN"/>
        </w:rPr>
        <w:t>（六）健全监督机制。</w:t>
      </w:r>
      <w:r>
        <w:rPr>
          <w:rFonts w:hint="eastAsia" w:ascii="仿宋" w:hAnsi="仿宋" w:eastAsia="仿宋" w:cs="仿宋"/>
          <w:b w:val="0"/>
          <w:bCs/>
          <w:color w:val="auto"/>
          <w:sz w:val="32"/>
          <w:szCs w:val="32"/>
          <w:lang w:val="en-US" w:eastAsia="zh-CN"/>
        </w:rPr>
        <w:t>区级民政部门要会同有关部门，每年对设施管理、经费投入、收费标准、工作人员待遇、养老服务质量、公众评议等内容开展检查评估，检查评估结果作为运营方运营情况的参考。同时监督运营方定期向委托方报告机构资产和运营情况，及时向委托方报告重大情况，包括重大安全事故、突发疫情等可能影响养老机构运营或危及入住老人生命财产安全的事项。</w:t>
      </w:r>
    </w:p>
    <w:p w14:paraId="0CFA2C5B">
      <w:pPr>
        <w:pStyle w:val="3"/>
        <w:keepLines w:val="0"/>
        <w:pageBreakBefore w:val="0"/>
        <w:widowControl w:val="0"/>
        <w:kinsoku/>
        <w:overflowPunct/>
        <w:topLinePunct w:val="0"/>
        <w:autoSpaceDE/>
        <w:autoSpaceDN/>
        <w:bidi w:val="0"/>
        <w:adjustRightInd/>
        <w:snapToGrid/>
        <w:spacing w:after="0" w:line="540" w:lineRule="exact"/>
        <w:textAlignment w:val="auto"/>
        <w:rPr>
          <w:rFonts w:hint="eastAsia"/>
          <w:lang w:val="en-US" w:eastAsia="zh-CN"/>
        </w:rPr>
      </w:pPr>
      <w:r>
        <w:rPr>
          <w:rFonts w:hint="eastAsia" w:ascii="楷体" w:hAnsi="楷体" w:eastAsia="楷体" w:cs="楷体"/>
          <w:b w:val="0"/>
          <w:bCs/>
          <w:color w:val="auto"/>
          <w:kern w:val="2"/>
          <w:sz w:val="32"/>
          <w:szCs w:val="32"/>
          <w:lang w:val="en-US" w:eastAsia="zh-CN" w:bidi="ar-SA"/>
        </w:rPr>
        <w:t>（七）明确解约机制。</w:t>
      </w:r>
      <w:r>
        <w:rPr>
          <w:rFonts w:hint="eastAsia"/>
          <w:lang w:val="en-US" w:eastAsia="zh-CN"/>
        </w:rPr>
        <w:t>运营方出现擅自变更经营主体或经营范围、侵犯老年人合法权益、发生安全责任事故等情形，区级民政部门应会同委托方责令其限期整改，或解除委托协议并追究相关责任；督促运营方和委托方相互配合，做好入住对象的安置工作，共同委托专业会计师事务所开展审计评估工作，妥善完成资产与账目交接，并向社会公告，防范债权债务纠纷。</w:t>
      </w:r>
    </w:p>
    <w:p w14:paraId="015700F1">
      <w:pPr>
        <w:pStyle w:val="3"/>
        <w:keepLines w:val="0"/>
        <w:pageBreakBefore w:val="0"/>
        <w:widowControl w:val="0"/>
        <w:kinsoku/>
        <w:overflowPunct/>
        <w:topLinePunct w:val="0"/>
        <w:autoSpaceDE/>
        <w:autoSpaceDN/>
        <w:bidi w:val="0"/>
        <w:adjustRightInd/>
        <w:snapToGrid/>
        <w:spacing w:after="0" w:line="540" w:lineRule="exact"/>
        <w:textAlignment w:val="auto"/>
        <w:rPr>
          <w:rFonts w:hint="default"/>
          <w:lang w:val="en-US" w:eastAsia="zh-CN"/>
        </w:rPr>
      </w:pPr>
      <w:r>
        <w:rPr>
          <w:rFonts w:hint="eastAsia" w:ascii="楷体" w:hAnsi="楷体" w:eastAsia="楷体" w:cs="楷体"/>
          <w:lang w:val="en-US" w:eastAsia="zh-CN"/>
        </w:rPr>
        <w:t>（八）细化工作流程。</w:t>
      </w:r>
      <w:r>
        <w:rPr>
          <w:rFonts w:hint="default"/>
          <w:lang w:val="en-US" w:eastAsia="zh-CN"/>
        </w:rPr>
        <w:t>区民政局可依照本通知结合实际细化工作流程与标准，增强</w:t>
      </w:r>
      <w:r>
        <w:rPr>
          <w:rFonts w:hint="eastAsia"/>
          <w:lang w:val="en-US" w:eastAsia="zh-CN"/>
        </w:rPr>
        <w:t>工作</w:t>
      </w:r>
      <w:r>
        <w:rPr>
          <w:rFonts w:hint="default"/>
          <w:lang w:val="en-US" w:eastAsia="zh-CN"/>
        </w:rPr>
        <w:t>的科学性和可操作性，确保各项要求落地见效。</w:t>
      </w:r>
    </w:p>
    <w:p w14:paraId="73CC651A">
      <w:pPr>
        <w:pStyle w:val="3"/>
        <w:keepLines w:val="0"/>
        <w:pageBreakBefore w:val="0"/>
        <w:widowControl w:val="0"/>
        <w:kinsoku/>
        <w:overflowPunct/>
        <w:topLinePunct w:val="0"/>
        <w:autoSpaceDE/>
        <w:autoSpaceDN/>
        <w:bidi w:val="0"/>
        <w:adjustRightInd/>
        <w:snapToGrid/>
        <w:spacing w:after="0" w:line="540" w:lineRule="exact"/>
        <w:textAlignment w:val="auto"/>
        <w:rPr>
          <w:rFonts w:hint="default"/>
          <w:lang w:val="en-US" w:eastAsia="zh-CN"/>
        </w:rPr>
      </w:pPr>
    </w:p>
    <w:p w14:paraId="05D12E02">
      <w:pPr>
        <w:pStyle w:val="3"/>
        <w:keepLines w:val="0"/>
        <w:pageBreakBefore w:val="0"/>
        <w:widowControl w:val="0"/>
        <w:kinsoku/>
        <w:overflowPunct/>
        <w:topLinePunct w:val="0"/>
        <w:autoSpaceDE/>
        <w:autoSpaceDN/>
        <w:bidi w:val="0"/>
        <w:adjustRightInd/>
        <w:snapToGrid/>
        <w:spacing w:after="0" w:line="540" w:lineRule="exact"/>
        <w:ind w:firstLine="5056" w:firstLineChars="1600"/>
        <w:textAlignment w:val="auto"/>
        <w:rPr>
          <w:rFonts w:hint="default"/>
          <w:lang w:val="en-US" w:eastAsia="zh-CN"/>
        </w:rPr>
      </w:pPr>
      <w:r>
        <w:rPr>
          <w:rFonts w:hint="eastAsia"/>
          <w:lang w:val="en-US" w:eastAsia="zh-CN"/>
        </w:rPr>
        <w:t xml:space="preserve">2026年2月10日        </w:t>
      </w:r>
    </w:p>
    <w:p w14:paraId="4426B47C">
      <w:pPr>
        <w:keepNext w:val="0"/>
        <w:keepLines w:val="0"/>
        <w:pageBreakBefore w:val="0"/>
        <w:widowControl w:val="0"/>
        <w:kinsoku/>
        <w:wordWrap w:val="0"/>
        <w:overflowPunct/>
        <w:topLinePunct w:val="0"/>
        <w:autoSpaceDE/>
        <w:autoSpaceDN/>
        <w:bidi w:val="0"/>
        <w:adjustRightInd/>
        <w:snapToGrid/>
        <w:spacing w:beforeAutospacing="0" w:afterAutospacing="0" w:line="540" w:lineRule="exact"/>
        <w:textAlignment w:val="auto"/>
        <w:rPr>
          <w:rFonts w:hint="eastAsia" w:ascii="Times New Roman" w:hAnsi="Times New Roman" w:eastAsia="仿宋" w:cs="宋体"/>
          <w:color w:val="auto"/>
          <w:kern w:val="0"/>
          <w:sz w:val="32"/>
          <w:szCs w:val="32"/>
          <w:u w:val="thick"/>
        </w:rPr>
        <w:sectPr>
          <w:headerReference r:id="rId5" w:type="default"/>
          <w:footerReference r:id="rId6" w:type="default"/>
          <w:pgSz w:w="11906" w:h="16838"/>
          <w:pgMar w:top="2098" w:right="1531" w:bottom="1984" w:left="1531" w:header="851" w:footer="992" w:gutter="0"/>
          <w:pgNumType w:fmt="decimal"/>
          <w:cols w:space="720" w:num="1"/>
          <w:docGrid w:type="linesAndChars" w:linePitch="579" w:charSpace="-849"/>
        </w:sectPr>
      </w:pPr>
      <w:r>
        <w:rPr>
          <w:rFonts w:hint="eastAsia"/>
          <w:color w:val="auto"/>
          <w:lang w:eastAsia="zh-CN"/>
        </w:rPr>
        <w:t>（此件</w:t>
      </w:r>
      <w:r>
        <w:rPr>
          <w:rFonts w:hint="eastAsia"/>
          <w:color w:val="auto"/>
          <w:lang w:val="en-US" w:eastAsia="zh-CN"/>
        </w:rPr>
        <w:t>主动公开</w:t>
      </w:r>
      <w:r>
        <w:rPr>
          <w:rFonts w:hint="eastAsia"/>
          <w:color w:val="auto"/>
          <w:lang w:eastAsia="zh-CN"/>
        </w:rPr>
        <w:t>）</w:t>
      </w:r>
    </w:p>
    <w:p w14:paraId="307346A9">
      <w:pPr>
        <w:ind w:left="0" w:leftChars="0" w:firstLine="0" w:firstLineChars="0"/>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32"/>
      </w:pPr>
      <w:r>
        <w:separator/>
      </w:r>
    </w:p>
  </w:endnote>
  <w:endnote w:type="continuationSeparator" w:id="1">
    <w:p>
      <w:pPr>
        <w:spacing w:line="240" w:lineRule="auto"/>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C3B28">
    <w:pPr>
      <w:pStyle w:val="5"/>
      <w:ind w:left="0" w:leftChars="0" w:right="320" w:rightChars="100" w:firstLine="0" w:firstLineChars="0"/>
      <w:rPr>
        <w:rFonts w:ascii="宋体" w:hAnsi="宋体" w:eastAsia="宋体"/>
        <w:sz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3E3FB3">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63E3FB3">
                    <w:pPr>
                      <w:pStyle w:val="5"/>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- 1 -</w:t>
                    </w:r>
                    <w:r>
                      <w:rPr>
                        <w:sz w:val="28"/>
                        <w:szCs w:val="28"/>
                      </w:rPr>
                      <w:fldChar w:fldCharType="end"/>
                    </w:r>
                    <w:r>
                      <w:rPr>
                        <w:sz w:val="28"/>
                        <w:szCs w:val="28"/>
                      </w:rPr>
                      <w:t xml:space="preserve"> —</w:t>
                    </w: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DDAEDDA">
                          <w:pPr>
                            <w:pStyle w:val="5"/>
                            <w:ind w:firstLine="360"/>
                          </w:pPr>
                        </w:p>
                      </w:txbxContent>
                    </wps:txbx>
                    <wps:bodyPr vert="horz" wrap="none" lIns="0" tIns="0" rIns="0" bIns="0" anchor="t" anchorCtr="0" upright="1">
                      <a:spAutoFit/>
                    </wps:bodyPr>
                  </wps:wsp>
                </a:graphicData>
              </a:graphic>
            </wp:anchor>
          </w:drawing>
        </mc:Choice>
        <mc:Fallback>
          <w:pict>
            <v:shape id="文本框 13"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M6pebnPAAAABQEAAA8AAAAA&#10;AAAAAQAgAAAAIgAAAGRycy9kb3ducmV2LnhtbFBLAQIUABQAAAAIAIdO4kB/7AK65AEAAM0DAAAO&#10;AAAAAAAAAAEAIAAAAB4BAABkcnMvZTJvRG9jLnhtbFBLBQYAAAAABgAGAFkBAAB0BQAAAAA=&#10;">
              <v:fill on="f" focussize="0,0"/>
              <v:stroke on="f"/>
              <v:imagedata o:title=""/>
              <o:lock v:ext="edit" aspectratio="f"/>
              <v:textbox inset="0mm,0mm,0mm,0mm" style="mso-fit-shape-to-text:t;">
                <w:txbxContent>
                  <w:p w14:paraId="0DDAEDDA">
                    <w:pPr>
                      <w:pStyle w:val="5"/>
                      <w:ind w:firstLine="360"/>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32"/>
      </w:pPr>
      <w:r>
        <w:separator/>
      </w:r>
    </w:p>
  </w:footnote>
  <w:footnote w:type="continuationSeparator" w:id="1">
    <w:p>
      <w:pPr>
        <w:spacing w:line="240" w:lineRule="auto"/>
        <w:ind w:firstLine="63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B15FD">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5A1BD0"/>
    <w:rsid w:val="6C5A1B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60" w:lineRule="exact"/>
      <w:ind w:firstLine="200" w:firstLineChars="200"/>
      <w:jc w:val="both"/>
    </w:pPr>
    <w:rPr>
      <w:rFonts w:ascii="Times New Roman" w:hAnsi="Times New Roman" w:eastAsia="仿宋" w:cs="Times New Roman"/>
      <w:color w:val="000000"/>
      <w:kern w:val="2"/>
      <w:sz w:val="32"/>
      <w:szCs w:val="32"/>
      <w:lang w:val="en-US" w:eastAsia="zh-CN" w:bidi="ar-SA"/>
    </w:rPr>
  </w:style>
  <w:style w:type="paragraph" w:styleId="2">
    <w:name w:val="heading 2"/>
    <w:basedOn w:val="1"/>
    <w:next w:val="3"/>
    <w:unhideWhenUsed/>
    <w:qFormat/>
    <w:uiPriority w:val="9"/>
    <w:pPr>
      <w:keepNext/>
      <w:keepLines/>
      <w:outlineLvl w:val="1"/>
    </w:pPr>
    <w:rPr>
      <w:rFonts w:eastAsia="楷体"/>
      <w:bCs/>
    </w:rPr>
  </w:style>
  <w:style w:type="paragraph" w:styleId="4">
    <w:name w:val="heading 3"/>
    <w:basedOn w:val="1"/>
    <w:next w:val="3"/>
    <w:unhideWhenUsed/>
    <w:qFormat/>
    <w:uiPriority w:val="9"/>
    <w:pPr>
      <w:keepNext/>
      <w:keepLines/>
      <w:outlineLvl w:val="2"/>
    </w:pPr>
    <w:rPr>
      <w:b/>
      <w:bCs/>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99"/>
    <w:pPr>
      <w:spacing w:after="120"/>
    </w:pPr>
  </w:style>
  <w:style w:type="paragraph" w:styleId="5">
    <w:name w:val="footer"/>
    <w:basedOn w:val="1"/>
    <w:unhideWhenUsed/>
    <w:qFormat/>
    <w:uiPriority w:val="0"/>
    <w:pPr>
      <w:tabs>
        <w:tab w:val="center" w:pos="4153"/>
        <w:tab w:val="right" w:pos="8306"/>
      </w:tabs>
      <w:snapToGrid w:val="0"/>
      <w:spacing w:line="240" w:lineRule="atLeast"/>
      <w:jc w:val="left"/>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2026-03-04T06:30:00Z</dcterms:created>
  <dc:creator>sai</dc:creator>
  <cp:lastModifiedBy>sai</cp:lastModifiedBy>
  <dcterms:modified xsi:type="dcterms:W3CDTF">2026-03-04T06:31:16Z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96DCEDCB0D4644A7B0916E25C078611B_11</vt:lpwstr>
  </property>
  <property fmtid="{D5CDD505-2E9C-101B-9397-08002B2CF9AE}" pid="4" name="KSOTemplateDocerSaveRecord">
    <vt:lpwstr>eyJoZGlkIjoiNDNiYTBmOTgyNjFiYmNkYjM5ZDQxMGE1MWU3YjlhM2UiLCJ1c2VySWQiOiI3OTExMDQzNDEifQ==</vt:lpwstr>
  </property>
</Properties>
</file>