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856D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eastAsia="zh-CN"/>
        </w:rPr>
        <w:t>市民政局</w:t>
      </w:r>
      <w:r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val="en-US" w:eastAsia="zh-CN"/>
        </w:rPr>
        <w:t xml:space="preserve"> 市老龄办 市高级人民法院</w:t>
      </w:r>
    </w:p>
    <w:p w14:paraId="3CFDF510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val="en-US" w:eastAsia="zh-CN"/>
        </w:rPr>
        <w:t>市人民检察院 市公安局 市司法局</w:t>
      </w:r>
    </w:p>
    <w:p w14:paraId="1AEC4D6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eastAsia="zh-CN"/>
        </w:rPr>
      </w:pPr>
      <w:r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eastAsia="zh-CN"/>
        </w:rPr>
        <w:t>关于印发维护老年人合法权益</w:t>
      </w:r>
    </w:p>
    <w:p w14:paraId="63F12CA2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eastAsia="zh-CN"/>
        </w:rPr>
      </w:pPr>
      <w:r>
        <w:rPr>
          <w:rFonts w:hint="eastAsia" w:ascii="Times New Roman" w:hAnsi="Times New Roman" w:eastAsia="方正小标宋简体"/>
          <w:b w:val="0"/>
          <w:bCs/>
          <w:i w:val="0"/>
          <w:snapToGrid/>
          <w:color w:val="333333"/>
          <w:sz w:val="44"/>
          <w:shd w:val="clear" w:color="auto" w:fill="FFFFFF"/>
          <w:lang w:val="en-US" w:eastAsia="zh-CN"/>
        </w:rPr>
        <w:t>若干措施的通知</w:t>
      </w:r>
      <w:bookmarkEnd w:id="0"/>
    </w:p>
    <w:p w14:paraId="2BFFF247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/>
        <w:jc w:val="center"/>
        <w:textAlignment w:val="auto"/>
        <w:rPr>
          <w:rFonts w:hint="eastAsia" w:ascii="Times New Roman" w:hAnsi="Times New Roman"/>
          <w:b/>
          <w:i w:val="0"/>
          <w:snapToGrid/>
          <w:color w:val="333333"/>
          <w:sz w:val="32"/>
          <w:shd w:val="clear" w:color="auto" w:fill="FFFFFF"/>
          <w:lang w:eastAsia="zh-CN"/>
        </w:rPr>
      </w:pPr>
    </w:p>
    <w:p w14:paraId="72A72D2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right="0" w:rightChars="0"/>
        <w:jc w:val="left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各区民政局、老龄办；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第一、第二、第三中级人民法院，海事法院，各区人民法院，铁路运输法院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；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各区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人民检察院、公安分局、司法局：</w:t>
      </w:r>
    </w:p>
    <w:p w14:paraId="3211D6D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为贯彻落实民政部、全国老龄办、最高人民法院、最高人民检察院、公安部、司法部、中国老龄协会《关于建立健全维护老年人合法权益工作机制的指导意见》（民发〔</w:t>
      </w:r>
      <w:r>
        <w:rPr>
          <w:rFonts w:hint="eastAsia" w:ascii="Times New Roman" w:hAnsi="Times New Roman" w:eastAsia="仿宋_GB2312" w:cs="Times New Roman"/>
          <w:b w:val="0"/>
          <w:bCs/>
          <w:i w:val="0"/>
          <w:snapToGrid/>
          <w:color w:val="333333"/>
          <w:sz w:val="32"/>
          <w:szCs w:val="32"/>
          <w:shd w:val="clear" w:color="auto" w:fill="FFFFFF"/>
          <w:lang w:val="en-US" w:eastAsia="zh-CN"/>
        </w:rPr>
        <w:t>2025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bCs/>
          <w:i w:val="0"/>
          <w:snapToGrid/>
          <w:color w:val="333333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号），深入实施积极应对人口老龄化国家战略，切实维护老年人合法权益，现制定如下措施。</w:t>
      </w:r>
    </w:p>
    <w:p w14:paraId="464D85E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一、加强法治宣传教育。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将《中华人民共和国老年人权益保障法》等相关法律法规列入普法责任清单，广泛开展宣传教育，不断提高老年人运用法律手段维护自身权益的意识，推动全社会形成维护老年人合法权益的良好氛围。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结合“敬老月”“重阳节”“民法典宣传月”“宪法宣传周”等重要时间节点，发动律师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、公证人员、检察官、法官、村（居）法律顾问、“法律明白人”、基层法律工作者、普法志愿者等，采取以案释法、普法讲座、法律咨询、播放法治教育片等老年人喜闻乐见的形式，深入养老机构、城乡社区、老年大学等老年人集中的机构场所，大力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普及权益保障、防范非法集资、反电信网络诈骗、赡养继承、意定监护等法律法规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及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政策规定，提升老年人识骗防骗能力和依法维权意识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将老年人权益保障普法宣传纳入人口老龄化国情教育内容，系统宣讲涉老法律法规政策和权益维护常识。依托媒体矩阵、公共法律服务平台等渠道，适时发布老年人权益保护典型案例，用身边事教育身边人。（市民政局、市高级人民法院、市人民检察院、市司法局、市公安局按职责分工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推动落实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eastAsia="zh-CN"/>
        </w:rPr>
        <w:t>）</w:t>
      </w:r>
    </w:p>
    <w:p w14:paraId="7F20F18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二、推进风险防范预警。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加强涉老矛盾纠纷分析研判，提升风险监测与预警能力，严防发生重大涉老侵权案件。依托各级调解组织和调解力量，加强涉老矛盾纠纷排查，广泛收集线索信息，促进矛盾纠纷早发现、早介入。针对养老消费、赡养与继承、金融理财、保健养生等涉老重点领域，做好风险排查、宣传教育、家庭关爱、专业帮扶、专项指导、社会支持等工作，加强风险防范，提升老年人抵御风险能力。推动相关职能部门强化行业监管和专项治理，持续优化市场环境和社会环境，从源头上减少涉老矛盾纠纷的发生。立足审判工作实践，统一涉老纠纷裁判规则。结合智慧助老活动，着力提高老年人数字安全和个人信息保护意识。（市司法局、市高级人民法院、市民政局、市公安局按职责分工推动落实）</w:t>
      </w:r>
    </w:p>
    <w:p w14:paraId="1878663A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三、畅通发现报告渠道。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" w:eastAsia="zh-CN"/>
        </w:rPr>
        <w:t>加强12368诉讼服务热线、12309检察服务热线、12348公共法律服务热线、12345政务服务热线等对接联动，依法解答涉及老年人权益保障的法律咨询，依职权受理相关诉求和投诉举报，发挥好热线预警研判功能，提升协同服务效能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发挥村（居）民委员会、社会工作服务机构、公益组织、志愿者、社区群众及相关行业从业者作用，发现老年人合法权益受侵害的，及时劝阻并协助反映求助，为遭受家庭暴力、遗弃、虐待的老年人提供心理支持，协助报案或提起诉讼。符合条件的，公安机关、村（居）民委员会、救助管理机构可代为申请人身安全保护令。依托法院、检察院等部门在社区设立的联系点，针对基层治理中排查出的涉老矛盾纠纷法律诉求，及时提供专业意见建议，及时联动处置，促进矛盾纠纷发现在早、化解在小。（市司法局、市高级人民法院、市人民检察院、市民政局、市公安局按职责分工推动落实）</w:t>
      </w:r>
    </w:p>
    <w:p w14:paraId="13F215D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四、深化涉老纠纷化解。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将涉老矛盾纠纷作为人民调解工作的重点，聚焦婚姻家庭、邻里纠纷等涉老权益纠纷的多发、易发领域，有针对性地开展矛盾化解工作，加强“公调对接”“诉调对接”，形成化解涉老矛盾纠纷的工作合力。加强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基层人民调解组织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和调解员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队伍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持续开展人民调解员业务培训，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" w:eastAsia="zh-CN"/>
        </w:rPr>
        <w:t>提升涉老纠纷化解能力水平。充分发挥乡镇（街道）、村（居）民委员会、社会组织、基层老年协会等在涉老家庭家事纠纷调解中的作用，通过引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入第三方参与听证、释法说理等方式，推动涉老家事纠纷就地实质化解。坚持把非诉纠纷解决机制挺在前面，结合涉老案件特点，依托调解工作室、法官工作站，推广特约调解员、诉调对接等做法，推动涉老纠纷源头化解、诉前化解，规范调解协议司法确认程序，努力让老年群体以最小的成本快速解决纠纷、维护权益。民政部门、老龄办要协调人民法院、检察院、公安机关、司法行政部门等开展重大涉老矛盾纠纷化解。（市民政局、市司法局、市高级人民法院、市公安局按职责分工推动落实）</w:t>
      </w:r>
    </w:p>
    <w:p w14:paraId="55E52C5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五、提升法律服务质效。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加强公共法律服务中心、公共法律服务站建设，为老年人提供便捷高效的法律咨询等服务，并根据实际情况配备无障碍设施设备。畅通老年人申请法律援助“绿色通道”，做到优先受理、优先审查、优先指派；将遭受虐待、遗弃或者家庭暴力的老年人纳入不受经济困难条件限制的情形，对无固定生活来源、接受社会救助或者司法救助的老年人免予核查经济困难状况；对行动不便的老年人可以提供电话预约或上门服务。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对80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周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岁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以上老年人首次申办遗嘱公证的，免收遗嘱公证服务费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，压缩办理时限，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推行老年人公证申请容缺受理和告知承诺制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对行动不便的老年人提供上门办证、预约办证、在线办证等服务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。律师、公证行业要把老年人作为公益法律服务的重点对象，鼓励律师、公证员等专业人才，开展各类公益法律服务活动，提升为老法律服务水平。（市司法局、市民政局按职责分工推动落实）</w:t>
      </w:r>
    </w:p>
    <w:p w14:paraId="6FD19C27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六、完善司法惠老举措。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完善适老化诉讼服务体系建设，着力优化线下线上一站式诉讼服务平台，通过诉讼服务大厅、诉讼服务热线、在线诉讼服务等多种渠道，畅通老年人诉讼渠道。保留老年人易于接受的传统司法服务方式，开通老年人诉讼服务绿色通道，加强诉讼服务辅导，及时办理诉讼服务事项，提升诉讼服务水平。推进诉讼服务场所无障碍设施建设，便利老年人参与诉讼活动。根据案件情况，允许相关辅助、陪护人员陪同老年当事人出庭。依法为符合条件的老年当事人提供司法救助，按规定减免缓诉讼费用，规范司法救助审批程序，促进司法救助与法律援助、社会救助等机制的有效衔接，多渠道整合资源，提升救助质效。（市高级人民法院、市司法局按职责分工推动落实）</w:t>
      </w:r>
    </w:p>
    <w:p w14:paraId="6DC61EC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七、严打涉老违法犯罪。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人民法院依法审理婚姻家庭、财产继承、损害赔偿、医疗服务、消费者权益保护、房屋买卖、民间借贷等与老年人生活密切相关的民事案件，推动涉老审判规范化、专业化建设，强化老年人权益司法保护。人民法院、人民检察院、公安机关要严厉打击涉老违法犯罪，依法惩治盗窃、抢劫、敲诈勒索、故意伤害、非法集资、养老诈骗等侵害老年人人身财产权益的犯罪行为，依法追究犯罪分子刑事责任。保持对涉老诈骗犯罪高压态势，强化审执配合，加大执行力度，推进追赃挽损，尽最大努力维护好老年人合法权益。虐待、遗弃老年人构成犯罪的，依法追究刑事责任。对老年人负有监护、看护职责的机构和人员欺老虐老的，根据行为程度依法追究其法律责任。（市高级人民法院、市人民检察院、市公安局按职责分工推动落实）</w:t>
      </w:r>
    </w:p>
    <w:p w14:paraId="4551D1B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八、</w:t>
      </w:r>
      <w:r>
        <w:rPr>
          <w:rFonts w:hint="default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强化检察</w:t>
      </w: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监督力度。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对诉讼能力受限的老年人追索赡养费、扶养费、人身损害赔偿、劳动报酬、工伤事故赔偿等案件，检察机关要发挥好支持起诉的职能，有效保障老年人依法享有、有效行使诉权。检察机关要紧紧围绕公共空间无障碍环境建设、互联网应用适老化改造、食品药品安全、公共安全与设施、个人信息保护等领域，开展老年人权益保障公益诉讼，维护老年群体合法权益。检察机关在涉老案件办理中，发现行业共性问题、管理漏洞的，依法向有关部门制发检察建议，并推动有关部门加强整改落实，完善行业规范。更好地发挥检察机关的法律监督作用，依法严惩侵害老年人合法权益的各类违法犯罪行为，加强立案、侦查、起诉、审判、执行等各环节监督。加强对涉老案件生效法律判决、裁定或调解书执行情况的监督，让老年人权益真正落到实处。（市人民检察院、市老龄办按职责分工推动落实）</w:t>
      </w:r>
    </w:p>
    <w:p w14:paraId="4B7E737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i w:val="0"/>
          <w:snapToGrid/>
          <w:color w:val="333333"/>
          <w:sz w:val="32"/>
          <w:shd w:val="clear" w:color="auto" w:fill="FFFFFF"/>
          <w:lang w:val="en-US" w:eastAsia="zh-CN"/>
        </w:rPr>
        <w:t>九、健全完善工作格局。</w:t>
      </w:r>
      <w:r>
        <w:rPr>
          <w:rFonts w:hint="eastAsia" w:ascii="Times New Roman" w:hAnsi="Times New Roman" w:eastAsia="仿宋_GB2312" w:cs="Times New Roman"/>
          <w:b w:val="0"/>
          <w:i w:val="0"/>
          <w:snapToGrid/>
          <w:color w:val="auto"/>
          <w:sz w:val="32"/>
          <w:szCs w:val="22"/>
          <w:shd w:val="clear" w:color="auto" w:fill="FFFFFF"/>
          <w:lang w:val="en-US" w:eastAsia="zh-CN"/>
        </w:rPr>
        <w:t>民政、人民法院、人民检察院、公安、司法行政等部门要加强协同配合、信息共享和交流会商，及时研究解决老年人权益保障突出问题，加快构建上下左右协同联动的工作机制，提高维护老年人合法权益的能力水平。民政部门、老龄办要加强统筹协调，做好老年人权益保障工作评估和统计调查。人民法院、人民检察院、公安、司法行政等部门要发挥专业优势，共同做好老年人权益保障工作。探索乡镇（街道）建立健全老龄工作统筹机制，压紧压实老年人权益保护责任。鼓励社会组织、社会工作者等社会力量广泛链接服务资源，为做好老年人权益保障工作提供支持。（市民政局、市老龄办、市高级人民法院、市人民检察院、市公安局、市司法局按职责分工推动落实）</w:t>
      </w:r>
    </w:p>
    <w:p w14:paraId="5448F91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  <w:t xml:space="preserve">                 </w:t>
      </w:r>
    </w:p>
    <w:p w14:paraId="6AB3E576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</w:p>
    <w:p w14:paraId="3F924592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</w:p>
    <w:p w14:paraId="4CE9C019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市民政局</w:t>
      </w: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  <w:t xml:space="preserve">          </w:t>
      </w: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市</w:t>
      </w: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  <w:t>老龄办       市高级人民法院</w:t>
      </w:r>
    </w:p>
    <w:p w14:paraId="201D9943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</w:p>
    <w:p w14:paraId="43A62C0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</w:p>
    <w:p w14:paraId="10ABA94C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</w:p>
    <w:p w14:paraId="535F871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  <w:t xml:space="preserve">市人民检察院      市公安局         </w:t>
      </w: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市</w:t>
      </w:r>
      <w:r>
        <w:rPr>
          <w:rFonts w:hint="default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司法</w:t>
      </w: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局</w:t>
      </w:r>
    </w:p>
    <w:p w14:paraId="56CCD81B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val="en-US" w:eastAsia="zh-CN"/>
        </w:rPr>
        <w:t xml:space="preserve">                                 2026年4月13日</w:t>
      </w:r>
    </w:p>
    <w:p w14:paraId="08BE173D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38" w:leftChars="304" w:right="0" w:rightChars="0" w:firstLine="0" w:firstLineChars="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t>（此件主动公开）</w:t>
      </w:r>
    </w:p>
    <w:p w14:paraId="427E57D8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</w:p>
    <w:p w14:paraId="1CABD5A5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</w:p>
    <w:p w14:paraId="74907C91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</w:p>
    <w:p w14:paraId="737E1977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</w:p>
    <w:p w14:paraId="30DE9E5E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</w:pPr>
    </w:p>
    <w:p w14:paraId="4C23499F"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rPr>
          <w:rFonts w:hint="eastAsia" w:ascii="Times New Roman" w:hAnsi="Times New Roman" w:eastAsia="仿宋_GB2312"/>
          <w:b w:val="0"/>
          <w:i w:val="0"/>
          <w:snapToGrid/>
          <w:color w:val="000000"/>
          <w:sz w:val="32"/>
          <w:shd w:val="clear" w:color="auto" w:fill="FFFFFF"/>
          <w:lang w:eastAsia="zh-CN"/>
        </w:rPr>
        <w:sectPr>
          <w:footerReference r:id="rId3" w:type="default"/>
          <w:pgSz w:w="11906" w:h="16838"/>
          <w:pgMar w:top="2098" w:right="1587" w:bottom="1701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E8C10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CB0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09D84E">
                          <w:pPr>
                            <w:pStyle w:val="2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  <w:spacing w:after="0" w:afterLines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09D84E">
                    <w:pPr>
                      <w:pStyle w:val="2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  <w:spacing w:after="0" w:afterLines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A27BA"/>
    <w:rsid w:val="0E0A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iPriority w:val="0"/>
  </w:style>
  <w:style w:type="paragraph" w:customStyle="1" w:styleId="6">
    <w:name w:val="_Style 5"/>
    <w:basedOn w:val="1"/>
    <w:uiPriority w:val="0"/>
    <w:pPr>
      <w:widowControl/>
      <w:adjustRightInd w:val="0"/>
      <w:spacing w:after="160" w:afterLines="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2026-04-27T03:11:00Z</dcterms:created>
  <dc:creator>sai</dc:creator>
  <cp:lastModifiedBy>sai</cp:lastModifiedBy>
  <dcterms:modified xsi:type="dcterms:W3CDTF">2026-04-27T03:12:07Z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A68E86724A23415392716D5BCEE8A2A6_11</vt:lpwstr>
  </property>
  <property fmtid="{D5CDD505-2E9C-101B-9397-08002B2CF9AE}" pid="4" name="KSOTemplateDocerSaveRecord">
    <vt:lpwstr>eyJoZGlkIjoiNDNiYTBmOTgyNjFiYmNkYjM5ZDQxMGE1MWU3YjlhM2UiLCJ1c2VySWQiOiI3OTExMDQzNDEifQ==</vt:lpwstr>
  </property>
</Properties>
</file>