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A3768">
      <w:pPr>
        <w:pStyle w:val="3"/>
        <w:spacing w:line="560" w:lineRule="exact"/>
        <w:jc w:val="both"/>
      </w:pPr>
    </w:p>
    <w:p w14:paraId="179D4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jc w:val="center"/>
        <w:textAlignment w:val="auto"/>
        <w:outlineLvl w:val="9"/>
        <w:rPr>
          <w:rFonts w:ascii="Times New Roman" w:hAnsi="Times New Roman" w:eastAsia="方正小标宋简体"/>
          <w:spacing w:val="-6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市人社局等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十</w:t>
      </w:r>
      <w:r>
        <w:rPr>
          <w:rFonts w:hint="eastAsia" w:eastAsia="方正小标宋简体" w:cs="Times New Roman"/>
          <w:color w:val="auto"/>
          <w:sz w:val="44"/>
          <w:szCs w:val="44"/>
          <w:lang w:eastAsia="zh-CN"/>
        </w:rPr>
        <w:t>六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部门印发</w:t>
      </w:r>
      <w:r>
        <w:rPr>
          <w:rFonts w:hint="eastAsia" w:eastAsia="方正小标宋简体" w:cs="Times New Roman"/>
          <w:color w:val="auto"/>
          <w:sz w:val="44"/>
          <w:szCs w:val="44"/>
          <w:lang w:val="en-US" w:eastAsia="zh-CN"/>
        </w:rPr>
        <w:t>《</w:t>
      </w:r>
      <w:r>
        <w:rPr>
          <w:rFonts w:ascii="Times New Roman" w:hAnsi="Times New Roman" w:eastAsia="方正小标宋简体"/>
          <w:spacing w:val="-6"/>
          <w:sz w:val="44"/>
          <w:szCs w:val="44"/>
          <w:highlight w:val="none"/>
        </w:rPr>
        <w:t>关于加快</w:t>
      </w:r>
    </w:p>
    <w:p w14:paraId="61003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jc w:val="center"/>
        <w:textAlignment w:val="auto"/>
        <w:outlineLvl w:val="9"/>
        <w:rPr>
          <w:rFonts w:ascii="Times New Roman" w:hAnsi="Times New Roman" w:eastAsia="方正小标宋简体"/>
          <w:spacing w:val="-6"/>
          <w:sz w:val="44"/>
          <w:szCs w:val="44"/>
          <w:highlight w:val="none"/>
        </w:rPr>
      </w:pPr>
      <w:r>
        <w:rPr>
          <w:rFonts w:ascii="Times New Roman" w:hAnsi="Times New Roman" w:eastAsia="方正小标宋简体"/>
          <w:spacing w:val="-6"/>
          <w:sz w:val="44"/>
          <w:szCs w:val="44"/>
          <w:highlight w:val="none"/>
        </w:rPr>
        <w:t>打造</w:t>
      </w:r>
      <w:r>
        <w:rPr>
          <w:rFonts w:hint="eastAsia" w:ascii="Times New Roman" w:hAnsi="Times New Roman" w:eastAsia="方正小标宋简体"/>
          <w:spacing w:val="-6"/>
          <w:sz w:val="44"/>
          <w:szCs w:val="44"/>
          <w:highlight w:val="none"/>
        </w:rPr>
        <w:t>“一人公司”</w:t>
      </w:r>
      <w:r>
        <w:rPr>
          <w:rFonts w:ascii="Times New Roman" w:hAnsi="Times New Roman" w:eastAsia="方正小标宋简体"/>
          <w:spacing w:val="-6"/>
          <w:sz w:val="44"/>
          <w:szCs w:val="44"/>
          <w:highlight w:val="none"/>
        </w:rPr>
        <w:t>创新创业生态的</w:t>
      </w:r>
    </w:p>
    <w:p w14:paraId="1E7C9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jc w:val="center"/>
        <w:textAlignment w:val="auto"/>
        <w:outlineLvl w:val="9"/>
        <w:rPr>
          <w:rFonts w:hint="eastAsia" w:ascii="Times New Roman" w:hAnsi="Times New Roman" w:eastAsia="文星简小标宋"/>
          <w:szCs w:val="44"/>
        </w:rPr>
      </w:pPr>
      <w:r>
        <w:rPr>
          <w:rFonts w:ascii="Times New Roman" w:hAnsi="Times New Roman" w:eastAsia="方正小标宋简体"/>
          <w:spacing w:val="-6"/>
          <w:sz w:val="44"/>
          <w:szCs w:val="44"/>
          <w:highlight w:val="none"/>
        </w:rPr>
        <w:t>若干措施</w:t>
      </w:r>
      <w:r>
        <w:rPr>
          <w:rFonts w:hint="eastAsia" w:eastAsia="方正小标宋简体" w:cs="Times New Roman"/>
          <w:color w:val="auto"/>
          <w:sz w:val="44"/>
          <w:szCs w:val="44"/>
          <w:lang w:val="en-US" w:eastAsia="zh-CN"/>
        </w:rPr>
        <w:t>》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的通知</w:t>
      </w:r>
    </w:p>
    <w:p w14:paraId="0B2B9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textAlignment w:val="auto"/>
        <w:rPr>
          <w:rFonts w:hint="eastAsia"/>
          <w:sz w:val="32"/>
          <w:szCs w:val="32"/>
        </w:rPr>
      </w:pPr>
    </w:p>
    <w:p w14:paraId="49D20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textAlignment w:val="auto"/>
        <w:rPr>
          <w:rFonts w:hint="eastAsia" w:ascii="Times New Roman" w:eastAsia="仿宋_GB2312"/>
          <w:sz w:val="32"/>
        </w:rPr>
      </w:pPr>
      <w:bookmarkStart w:id="0" w:name="OLE_LINK5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有关单位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</w:t>
      </w:r>
      <w:bookmarkEnd w:id="0"/>
    </w:p>
    <w:p w14:paraId="7B035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为深入贯彻党中央、国务院关于推动人工智能创新发展、培育新质生产力的决策部署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 w:bidi="ar"/>
        </w:rPr>
        <w:t>聚焦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OPC创业群体实际需求</w:t>
      </w:r>
      <w:r>
        <w:rPr>
          <w:rFonts w:hint="eastAsia" w:eastAsia="仿宋_GB2312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市人社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16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部门制定了《关于加快打造“一人公司”创新创业生态的若干措施》，现印发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你们，请认真抓好贯彻落实。</w:t>
      </w:r>
    </w:p>
    <w:p w14:paraId="52633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46F50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0194C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/>
        <w:textAlignment w:val="auto"/>
        <w:rPr>
          <w:rFonts w:hint="default" w:eastAsia="仿宋_GB2312" w:cs="Times New Roman"/>
          <w:color w:val="auto"/>
          <w:sz w:val="32"/>
          <w:szCs w:val="32"/>
          <w:lang w:val="en" w:eastAsia="zh-CN"/>
        </w:rPr>
      </w:pPr>
    </w:p>
    <w:p w14:paraId="07A33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人社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局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</w:t>
      </w:r>
      <w:r>
        <w:rPr>
          <w:rFonts w:hint="default" w:eastAsia="仿宋_GB2312" w:cs="Times New Roman"/>
          <w:color w:val="auto"/>
          <w:sz w:val="32"/>
          <w:szCs w:val="32"/>
          <w:shd w:val="clear" w:color="auto" w:fill="auto"/>
          <w:lang w:val="en" w:eastAsia="zh-CN"/>
        </w:rPr>
        <w:t xml:space="preserve">  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</w:t>
      </w:r>
      <w:r>
        <w:rPr>
          <w:rFonts w:hint="default" w:eastAsia="仿宋_GB2312" w:cs="Times New Roman"/>
          <w:color w:val="auto"/>
          <w:sz w:val="32"/>
          <w:szCs w:val="32"/>
          <w:shd w:val="clear" w:color="auto" w:fill="auto"/>
          <w:lang w:val="en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  <w:shd w:val="clear" w:color="auto" w:fill="auto"/>
          <w:lang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  <w:shd w:val="clear" w:color="auto" w:fill="auto"/>
        </w:rPr>
        <w:t>发展改革委</w:t>
      </w:r>
      <w:r>
        <w:rPr>
          <w:rFonts w:hint="default" w:eastAsia="仿宋_GB2312" w:cs="Times New Roman"/>
          <w:color w:val="auto"/>
          <w:sz w:val="32"/>
          <w:szCs w:val="32"/>
          <w:shd w:val="clear" w:color="auto" w:fill="auto"/>
          <w:lang w:val="en"/>
        </w:rPr>
        <w:t xml:space="preserve">      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</w:t>
      </w:r>
      <w:r>
        <w:rPr>
          <w:rFonts w:hint="default" w:eastAsia="仿宋_GB2312" w:cs="Times New Roman"/>
          <w:color w:val="auto"/>
          <w:sz w:val="32"/>
          <w:szCs w:val="32"/>
          <w:shd w:val="clear" w:color="auto" w:fill="auto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市教委</w:t>
      </w:r>
      <w:r>
        <w:rPr>
          <w:rFonts w:hint="default" w:eastAsia="仿宋_GB2312" w:cs="Times New Roman"/>
          <w:color w:val="auto"/>
          <w:sz w:val="32"/>
          <w:szCs w:val="32"/>
          <w:shd w:val="clear" w:color="auto" w:fill="auto"/>
          <w:lang w:val="en" w:eastAsia="zh-CN"/>
        </w:rPr>
        <w:t xml:space="preserve">    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</w:t>
      </w:r>
      <w:r>
        <w:rPr>
          <w:rFonts w:hint="default" w:eastAsia="仿宋_GB2312" w:cs="Times New Roman"/>
          <w:color w:val="auto"/>
          <w:sz w:val="32"/>
          <w:szCs w:val="32"/>
          <w:shd w:val="clear" w:color="auto" w:fill="auto"/>
          <w:lang w:val="en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市科技局</w:t>
      </w:r>
    </w:p>
    <w:p w14:paraId="78D46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     </w:t>
      </w:r>
    </w:p>
    <w:p w14:paraId="12DA1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</w:p>
    <w:p w14:paraId="403E6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firstLine="0"/>
        <w:jc w:val="both"/>
        <w:textAlignment w:val="auto"/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</w:p>
    <w:p w14:paraId="3D07C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-34"/>
          <w:sz w:val="32"/>
          <w:szCs w:val="32"/>
          <w:shd w:val="clear" w:color="auto" w:fill="auto"/>
          <w:lang w:val="en-US" w:eastAsia="zh-CN"/>
        </w:rPr>
      </w:pPr>
      <w:r>
        <w:rPr>
          <w:rFonts w:hint="eastAsia" w:eastAsia="仿宋_GB2312" w:cs="Times New Roman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  市工业和信息化局</w:t>
      </w:r>
      <w:r>
        <w:rPr>
          <w:rFonts w:hint="default" w:eastAsia="仿宋_GB2312" w:cs="Times New Roman"/>
          <w:color w:val="auto"/>
          <w:sz w:val="32"/>
          <w:szCs w:val="32"/>
          <w:shd w:val="clear" w:color="auto" w:fill="auto"/>
          <w:lang w:val="en" w:eastAsia="zh-CN"/>
        </w:rPr>
        <w:t xml:space="preserve">   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</w:t>
      </w:r>
      <w:r>
        <w:rPr>
          <w:rFonts w:hint="default" w:eastAsia="仿宋_GB2312" w:cs="Times New Roman"/>
          <w:color w:val="auto"/>
          <w:sz w:val="32"/>
          <w:szCs w:val="32"/>
          <w:shd w:val="clear" w:color="auto" w:fill="auto"/>
          <w:lang w:val="en" w:eastAsia="zh-CN"/>
        </w:rPr>
        <w:t xml:space="preserve"> 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市财政局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 xml:space="preserve"> 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  </w:t>
      </w:r>
      <w:r>
        <w:rPr>
          <w:rFonts w:hint="eastAsia" w:eastAsia="仿宋_GB2312" w:cs="Times New Roman"/>
          <w:color w:val="auto"/>
          <w:spacing w:val="-20"/>
          <w:sz w:val="32"/>
          <w:szCs w:val="32"/>
          <w:shd w:val="clear" w:color="auto" w:fill="auto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shd w:val="clear" w:color="auto" w:fill="auto"/>
          <w:lang w:val="en-US" w:eastAsia="zh-CN"/>
        </w:rPr>
        <w:t>市交通运输委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  </w:t>
      </w:r>
    </w:p>
    <w:p w14:paraId="04197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ind w:firstLine="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</w:p>
    <w:p w14:paraId="54BA9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ind w:firstLine="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</w:p>
    <w:p w14:paraId="4DBC0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ind w:firstLine="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</w:p>
    <w:p w14:paraId="7A54B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shd w:val="clear" w:color="auto" w:fill="auto"/>
          <w:lang w:val="en-US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shd w:val="clear" w:color="auto" w:fill="auto"/>
          <w:lang w:val="en-US" w:eastAsia="zh-CN"/>
        </w:rPr>
        <w:t>市卫生健康委</w:t>
      </w:r>
      <w:r>
        <w:rPr>
          <w:rFonts w:hint="eastAsia" w:eastAsia="仿宋_GB2312" w:cs="Times New Roman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shd w:val="clear" w:color="auto" w:fill="auto"/>
          <w:lang w:eastAsia="zh-CN"/>
        </w:rPr>
        <w:t>市市场监管委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  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市数据局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      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 </w:t>
      </w:r>
    </w:p>
    <w:p w14:paraId="3CC2E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</w:p>
    <w:p w14:paraId="777DB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</w:p>
    <w:p w14:paraId="16799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</w:p>
    <w:p w14:paraId="52B7A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both"/>
        <w:textAlignment w:val="auto"/>
        <w:rPr>
          <w:rFonts w:hint="eastAsia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市医保局</w:t>
      </w:r>
      <w:r>
        <w:rPr>
          <w:rFonts w:hint="eastAsia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shd w:val="clear" w:color="auto" w:fill="auto"/>
          <w:lang w:eastAsia="zh-CN"/>
        </w:rPr>
        <w:t>市知识产权局</w:t>
      </w:r>
      <w:r>
        <w:rPr>
          <w:rFonts w:hint="eastAsia" w:eastAsia="仿宋_GB2312" w:cs="Times New Roman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  </w:t>
      </w:r>
      <w:r>
        <w:rPr>
          <w:rFonts w:hint="eastAsia" w:eastAsia="仿宋_GB2312" w:cs="Times New Roman"/>
          <w:color w:val="auto"/>
          <w:spacing w:val="-34"/>
          <w:sz w:val="32"/>
          <w:szCs w:val="32"/>
          <w:shd w:val="clear" w:color="auto" w:fill="auto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市地方金融管理局</w:t>
      </w:r>
      <w:r>
        <w:rPr>
          <w:rFonts w:hint="eastAsia" w:eastAsia="仿宋_GB2312" w:cs="仿宋_GB2312"/>
          <w:sz w:val="32"/>
          <w:szCs w:val="32"/>
          <w:lang w:val="en-US" w:eastAsia="zh-CN"/>
        </w:rPr>
        <w:t xml:space="preserve"> </w:t>
      </w:r>
    </w:p>
    <w:p w14:paraId="3B501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both"/>
        <w:textAlignment w:val="auto"/>
        <w:rPr>
          <w:rFonts w:hint="eastAsia" w:eastAsia="仿宋_GB2312" w:cs="仿宋_GB2312"/>
          <w:sz w:val="32"/>
          <w:szCs w:val="32"/>
          <w:lang w:val="en-US" w:eastAsia="zh-CN"/>
        </w:rPr>
      </w:pPr>
    </w:p>
    <w:p w14:paraId="666D3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both"/>
        <w:textAlignment w:val="auto"/>
        <w:rPr>
          <w:rFonts w:hint="eastAsia" w:eastAsia="仿宋_GB2312" w:cs="仿宋_GB2312"/>
          <w:sz w:val="32"/>
          <w:szCs w:val="32"/>
          <w:lang w:val="en-US" w:eastAsia="zh-CN"/>
        </w:rPr>
      </w:pPr>
    </w:p>
    <w:p w14:paraId="050EF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</w:pPr>
      <w:r>
        <w:rPr>
          <w:rFonts w:hint="eastAsia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     </w:t>
      </w:r>
    </w:p>
    <w:p w14:paraId="16EF0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2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-20"/>
          <w:sz w:val="32"/>
          <w:szCs w:val="32"/>
          <w:shd w:val="clear" w:color="auto" w:fill="auto"/>
          <w:lang w:eastAsia="zh-CN"/>
        </w:rPr>
        <w:t>天津金融监管局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市税务局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中国人民银行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天津市分行</w:t>
      </w:r>
    </w:p>
    <w:p w14:paraId="274F5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2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 xml:space="preserve">  </w:t>
      </w:r>
      <w:r>
        <w:rPr>
          <w:rFonts w:hint="eastAsia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仿宋_GB2312"/>
          <w:sz w:val="32"/>
          <w:szCs w:val="32"/>
          <w:lang w:val="en" w:eastAsia="zh-CN"/>
        </w:rPr>
        <w:t xml:space="preserve">  </w:t>
      </w:r>
      <w:r>
        <w:rPr>
          <w:rFonts w:hint="eastAsia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8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</w:p>
    <w:p w14:paraId="572BF88A"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32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pacing w:val="0"/>
          <w:sz w:val="32"/>
          <w:szCs w:val="32"/>
          <w:lang w:eastAsia="zh-CN"/>
        </w:rPr>
        <w:sectPr>
          <w:footerReference r:id="rId3" w:type="default"/>
          <w:pgSz w:w="11906" w:h="16838"/>
          <w:pgMar w:top="2268" w:right="1587" w:bottom="1417" w:left="1587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65249388">
      <w:pPr>
        <w:adjustRightInd w:val="0"/>
        <w:snapToGrid w:val="0"/>
        <w:spacing w:beforeLines="0" w:afterLines="0" w:line="600" w:lineRule="exact"/>
        <w:jc w:val="center"/>
        <w:rPr>
          <w:rFonts w:ascii="Times New Roman" w:hAnsi="Times New Roman" w:eastAsia="方正小标宋简体"/>
          <w:spacing w:val="-6"/>
          <w:sz w:val="44"/>
          <w:szCs w:val="44"/>
          <w:highlight w:val="none"/>
        </w:rPr>
      </w:pPr>
      <w:r>
        <w:rPr>
          <w:rFonts w:ascii="Times New Roman" w:hAnsi="Times New Roman" w:eastAsia="方正小标宋简体"/>
          <w:spacing w:val="-6"/>
          <w:sz w:val="44"/>
          <w:szCs w:val="44"/>
          <w:highlight w:val="none"/>
        </w:rPr>
        <w:t>关于加快打造</w:t>
      </w:r>
      <w:r>
        <w:rPr>
          <w:rFonts w:hint="eastAsia" w:ascii="Times New Roman" w:hAnsi="Times New Roman" w:eastAsia="方正小标宋简体"/>
          <w:spacing w:val="-6"/>
          <w:sz w:val="44"/>
          <w:szCs w:val="44"/>
          <w:highlight w:val="none"/>
        </w:rPr>
        <w:t>“一人公司”</w:t>
      </w:r>
      <w:r>
        <w:rPr>
          <w:rFonts w:ascii="Times New Roman" w:hAnsi="Times New Roman" w:eastAsia="方正小标宋简体"/>
          <w:spacing w:val="-6"/>
          <w:sz w:val="44"/>
          <w:szCs w:val="44"/>
          <w:highlight w:val="none"/>
        </w:rPr>
        <w:t>创新</w:t>
      </w:r>
    </w:p>
    <w:p w14:paraId="2C837D9B">
      <w:pPr>
        <w:adjustRightInd w:val="0"/>
        <w:snapToGrid w:val="0"/>
        <w:spacing w:beforeLines="0" w:afterLines="0" w:line="600" w:lineRule="exact"/>
        <w:jc w:val="center"/>
        <w:rPr>
          <w:rFonts w:ascii="Times New Roman" w:hAnsi="Times New Roman" w:eastAsia="方正小标宋简体"/>
          <w:spacing w:val="-6"/>
          <w:sz w:val="44"/>
          <w:szCs w:val="44"/>
          <w:highlight w:val="none"/>
        </w:rPr>
      </w:pPr>
      <w:r>
        <w:rPr>
          <w:rFonts w:ascii="Times New Roman" w:hAnsi="Times New Roman" w:eastAsia="方正小标宋简体"/>
          <w:spacing w:val="-6"/>
          <w:sz w:val="44"/>
          <w:szCs w:val="44"/>
          <w:highlight w:val="none"/>
        </w:rPr>
        <w:t>创业生态的若干措施</w:t>
      </w:r>
    </w:p>
    <w:p w14:paraId="75303C08">
      <w:pPr>
        <w:pStyle w:val="3"/>
        <w:spacing w:beforeLines="0" w:afterLines="0" w:line="600" w:lineRule="exact"/>
        <w:jc w:val="both"/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</w:pPr>
    </w:p>
    <w:p w14:paraId="0F4E3403">
      <w:pPr>
        <w:widowControl/>
        <w:spacing w:beforeLines="0" w:afterLines="0" w:line="60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为深入贯彻党中央、国务院关于推动人工智能创新发展、培育新质生产力的决策部署，全面落实市委、市政府优化营商环境，支持中小微企业创新发展的工作要求，主动抢抓AI技术变革机遇，积极支持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“一人公司”（以下简称OPC）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主体快速成长，加快打造天津智能创新创业生态，现提出如下措施：</w:t>
      </w:r>
    </w:p>
    <w:p w14:paraId="3181847B">
      <w:pPr>
        <w:widowControl/>
        <w:spacing w:beforeLines="0" w:afterLines="0" w:line="60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黑体"/>
          <w:sz w:val="32"/>
          <w:szCs w:val="32"/>
          <w:highlight w:val="none"/>
        </w:rPr>
        <w:t>一、打造高效便捷准入通道。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深化个人创业“一件事”</w:t>
      </w:r>
      <w:r>
        <w:rPr>
          <w:rFonts w:hint="eastAsia" w:eastAsia="仿宋_GB2312"/>
          <w:color w:val="000000"/>
          <w:kern w:val="0"/>
          <w:sz w:val="32"/>
          <w:szCs w:val="32"/>
          <w:highlight w:val="none"/>
          <w:lang w:eastAsia="zh-CN" w:bidi="ar"/>
        </w:rPr>
        <w:t>，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为OPC提供经营主体登记、纳税人信息确认、社会保险登记、就业创业证申领、创业补贴申领等“1+N”高效服务，助力实现快速展业。支持OPC以实物、知识产权、股权、债权等可以用货币估价并可以依法转让的非货币财产作价出资，依法设定注册资本和出资期限。支持人工智能等新行业新领域企业名称的行业或者经营特点。</w:t>
      </w:r>
      <w:r>
        <w:rPr>
          <w:rFonts w:hint="eastAsia" w:ascii="Times New Roman" w:hAnsi="Times New Roman" w:eastAsia="楷体_GB2312" w:cs="楷体_GB2312"/>
          <w:color w:val="000000"/>
          <w:kern w:val="0"/>
          <w:sz w:val="32"/>
          <w:szCs w:val="32"/>
          <w:highlight w:val="none"/>
          <w:lang w:eastAsia="zh-CN" w:bidi="ar"/>
        </w:rPr>
        <w:t>（责任单位：市人社局、市市场监管委、市知识产权局、市税务局等按职责分工负责）</w:t>
      </w:r>
    </w:p>
    <w:p w14:paraId="7128D707">
      <w:pPr>
        <w:widowControl/>
        <w:spacing w:beforeLines="0" w:afterLines="0" w:line="60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黑体"/>
          <w:sz w:val="32"/>
          <w:szCs w:val="32"/>
          <w:highlight w:val="none"/>
        </w:rPr>
        <w:t>二、构建全链条服务平台。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打造OPC市级创业公共服务平台，整合政策查询申报、场景对接、融资支持、人才服务、订单撮合、教育培训等功能，实现“一窗受理、一网通办、直达快享”。支持国家超算互联网、360公司等建设大模型生态服务平台，打通与主流AI工具、流量平台、内容平台的对接通道，集成普惠算力、优质语料数据、垂类AI创作工具等一站式服务，实现用户一键部署、开箱即用。</w:t>
      </w:r>
      <w:r>
        <w:rPr>
          <w:rFonts w:hint="eastAsia" w:ascii="Times New Roman" w:hAnsi="Times New Roman" w:eastAsia="楷体_GB2312" w:cs="楷体_GB2312"/>
          <w:color w:val="000000"/>
          <w:kern w:val="0"/>
          <w:sz w:val="32"/>
          <w:szCs w:val="32"/>
          <w:highlight w:val="none"/>
          <w:lang w:eastAsia="zh-CN" w:bidi="ar"/>
        </w:rPr>
        <w:t>（责任单位：市教委、市科技局、市工业和信息化局、市人社局、市数据局等按职责分工负责）</w:t>
      </w:r>
    </w:p>
    <w:p w14:paraId="66DE02A1">
      <w:pPr>
        <w:widowControl/>
        <w:spacing w:beforeLines="0" w:afterLines="0" w:line="60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黑体"/>
          <w:sz w:val="32"/>
          <w:szCs w:val="32"/>
          <w:highlight w:val="none"/>
        </w:rPr>
        <w:t>三、拓展全方位载体支持。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鼓励各类创业孵化基地、众创空间等载体</w:t>
      </w:r>
      <w:r>
        <w:rPr>
          <w:rFonts w:hint="eastAsia" w:eastAsia="仿宋_GB2312"/>
          <w:color w:val="000000"/>
          <w:kern w:val="0"/>
          <w:sz w:val="32"/>
          <w:szCs w:val="32"/>
          <w:highlight w:val="none"/>
          <w:lang w:eastAsia="zh-CN" w:bidi="ar"/>
        </w:rPr>
        <w:t>，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安排一定比例的场地设施支持OPC发展，并给予租金减免支持。发放“创业券”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highlight w:val="none"/>
          <w:lang w:eastAsia="zh-CN" w:bidi="ar"/>
        </w:rPr>
        <w:t>，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为创业者提供财税、金融、法律、人力资源、知识产权、品牌策划等服务支持。发挥天开高教科创园、滨海高新区、中新生态城等先行先试作用，设立OPC创业专区，打造低成本、便利化、全要素的OPC生态社区，及时总结推广载体运营经验，发挥示范引领作用。为38周岁及以下的来津青年创业者，提供最长3年的“创客驿站”住宿服务。</w:t>
      </w:r>
      <w:r>
        <w:rPr>
          <w:rFonts w:hint="eastAsia" w:ascii="Times New Roman" w:hAnsi="Times New Roman" w:eastAsia="楷体_GB2312" w:cs="楷体_GB2312"/>
          <w:color w:val="000000"/>
          <w:kern w:val="0"/>
          <w:sz w:val="32"/>
          <w:szCs w:val="32"/>
          <w:highlight w:val="none"/>
          <w:lang w:eastAsia="zh-CN" w:bidi="ar"/>
        </w:rPr>
        <w:t>（责任单位：市教委、市科技局、市财政局、市人社局，滨海新区人民政府、和平区人民政府等按职责分工负责）</w:t>
      </w:r>
    </w:p>
    <w:p w14:paraId="746B1865">
      <w:pPr>
        <w:widowControl/>
        <w:spacing w:beforeLines="0" w:afterLines="0" w:line="60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黑体"/>
          <w:sz w:val="32"/>
          <w:szCs w:val="32"/>
          <w:highlight w:val="none"/>
        </w:rPr>
        <w:t>四、加大应用场景支持力度。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支持政府部门、国有企事业单位开放、生产制造、城市管理、教育医疗、养老托育、交通运输等应用场景，支持OPC参与场景测试、研发与落地。鼓励有条件的区或园区以市场化方式组建场景创新中心，进一步强化场景孵化、技术支撑和成果转化能力。</w:t>
      </w:r>
      <w:r>
        <w:rPr>
          <w:rFonts w:hint="eastAsia" w:ascii="Times New Roman" w:hAnsi="Times New Roman" w:eastAsia="楷体_GB2312" w:cs="楷体_GB2312"/>
          <w:color w:val="000000"/>
          <w:kern w:val="0"/>
          <w:sz w:val="32"/>
          <w:szCs w:val="32"/>
          <w:highlight w:val="none"/>
          <w:lang w:eastAsia="zh-CN" w:bidi="ar"/>
        </w:rPr>
        <w:t>（责任单位：市发展改革委、市教委、市工业和信息化局、市交通运输委、市卫生健康委、市医保局，各区人民政府等按职责分工负责）</w:t>
      </w:r>
    </w:p>
    <w:p w14:paraId="6489E613">
      <w:pPr>
        <w:widowControl/>
        <w:spacing w:beforeLines="0" w:afterLines="0" w:line="600" w:lineRule="exact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 xml:space="preserve">    </w:t>
      </w:r>
      <w:r>
        <w:rPr>
          <w:rFonts w:hint="eastAsia" w:ascii="Times New Roman" w:hAnsi="Times New Roman" w:eastAsia="黑体" w:cs="黑体"/>
          <w:color w:val="000000"/>
          <w:kern w:val="0"/>
          <w:sz w:val="32"/>
          <w:szCs w:val="32"/>
          <w:highlight w:val="none"/>
          <w:lang w:bidi="ar"/>
        </w:rPr>
        <w:t>五</w:t>
      </w:r>
      <w:r>
        <w:rPr>
          <w:rFonts w:ascii="Times New Roman" w:hAnsi="Times New Roman" w:eastAsia="黑体"/>
          <w:sz w:val="32"/>
          <w:szCs w:val="32"/>
          <w:highlight w:val="none"/>
        </w:rPr>
        <w:t>、强化订单导入撮合支持。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鼓励有条件的园区联动发挥主导产业优势，采取共建OPC生态社区、打造订单工坊等形式，构建“入驻即入链、上下楼即上下游”的订单精准获取模式，帮助OPC嵌入园区产业发展进程，稳定获取订单。引导京东、抖音、腾讯、360、云账户等在津平台类企业，动态发布人工智能应用场景等需求订单，组织推动OPC积极承接落地。</w:t>
      </w:r>
      <w:r>
        <w:rPr>
          <w:rFonts w:hint="eastAsia" w:ascii="Times New Roman" w:hAnsi="Times New Roman" w:eastAsia="楷体_GB2312" w:cs="楷体_GB2312"/>
          <w:color w:val="000000"/>
          <w:kern w:val="0"/>
          <w:sz w:val="32"/>
          <w:szCs w:val="32"/>
          <w:highlight w:val="none"/>
          <w:lang w:eastAsia="zh-CN" w:bidi="ar"/>
        </w:rPr>
        <w:t>（责任单位：市发展改革委、市科技局、市工业和信息化局，各区人民政府等按职责分工负责）</w:t>
      </w:r>
    </w:p>
    <w:p w14:paraId="251ECA61">
      <w:pPr>
        <w:widowControl/>
        <w:spacing w:beforeLines="0" w:afterLines="0" w:line="600" w:lineRule="exact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 xml:space="preserve">    </w:t>
      </w:r>
      <w:r>
        <w:rPr>
          <w:rFonts w:hint="eastAsia" w:ascii="Times New Roman" w:hAnsi="Times New Roman" w:eastAsia="黑体"/>
          <w:sz w:val="32"/>
          <w:szCs w:val="32"/>
          <w:highlight w:val="none"/>
        </w:rPr>
        <w:t>六</w:t>
      </w:r>
      <w:r>
        <w:rPr>
          <w:rFonts w:ascii="Times New Roman" w:hAnsi="Times New Roman" w:eastAsia="黑体"/>
          <w:sz w:val="32"/>
          <w:szCs w:val="32"/>
          <w:highlight w:val="none"/>
        </w:rPr>
        <w:t>、积极提供创业培训支持。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聚焦AI工具应用、数字营销、产品设计、财务管理等OPC创业核心技能，依托创业培训机构、高校、孵化基地，遴选开发一批OPC专项培训课程，并纳入全市创业培训课程体系和高校微专业建设体系。拓展创业导师资源，广泛吸纳知名企业家、资深投资人、行业技术专家，组建OPC创业导师团队提供咨询指导和培训服务。</w:t>
      </w:r>
      <w:r>
        <w:rPr>
          <w:rFonts w:hint="eastAsia" w:ascii="Times New Roman" w:hAnsi="Times New Roman" w:eastAsia="楷体_GB2312" w:cs="楷体_GB2312"/>
          <w:color w:val="000000"/>
          <w:kern w:val="0"/>
          <w:sz w:val="32"/>
          <w:szCs w:val="32"/>
          <w:highlight w:val="none"/>
          <w:lang w:eastAsia="zh-CN" w:bidi="ar"/>
        </w:rPr>
        <w:t>（责任单位：市教委、市人社局等按职责分工负责）</w:t>
      </w:r>
    </w:p>
    <w:p w14:paraId="4CA57D78">
      <w:pPr>
        <w:widowControl/>
        <w:spacing w:beforeLines="0" w:afterLines="0" w:line="600" w:lineRule="exact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黑体"/>
          <w:sz w:val="32"/>
          <w:szCs w:val="32"/>
          <w:highlight w:val="none"/>
        </w:rPr>
        <w:t xml:space="preserve">    </w:t>
      </w:r>
      <w:r>
        <w:rPr>
          <w:rFonts w:hint="eastAsia" w:ascii="Times New Roman" w:hAnsi="Times New Roman" w:eastAsia="黑体"/>
          <w:sz w:val="32"/>
          <w:szCs w:val="32"/>
          <w:highlight w:val="none"/>
        </w:rPr>
        <w:t>七</w:t>
      </w:r>
      <w:r>
        <w:rPr>
          <w:rFonts w:ascii="Times New Roman" w:hAnsi="Times New Roman" w:eastAsia="黑体"/>
          <w:sz w:val="32"/>
          <w:szCs w:val="32"/>
          <w:highlight w:val="none"/>
        </w:rPr>
        <w:t>、研发</w:t>
      </w:r>
      <w:r>
        <w:rPr>
          <w:rFonts w:hint="eastAsia" w:ascii="Times New Roman" w:hAnsi="Times New Roman" w:eastAsia="黑体"/>
          <w:sz w:val="32"/>
          <w:szCs w:val="32"/>
          <w:highlight w:val="none"/>
          <w:lang w:eastAsia="zh-CN"/>
        </w:rPr>
        <w:t>特色</w:t>
      </w:r>
      <w:r>
        <w:rPr>
          <w:rFonts w:ascii="Times New Roman" w:hAnsi="Times New Roman" w:eastAsia="黑体"/>
          <w:sz w:val="32"/>
          <w:szCs w:val="32"/>
          <w:highlight w:val="none"/>
        </w:rPr>
        <w:t>信贷支持产品。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 w:bidi="ar"/>
        </w:rPr>
        <w:t>支持金融机构在依法合规、风险可控前提下，围绕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OPC在内的相关产业特点，研发金融产品，提供金融服务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"/>
        </w:rPr>
        <w:t>。</w:t>
      </w:r>
      <w:r>
        <w:rPr>
          <w:rFonts w:hint="eastAsia" w:eastAsia="仿宋_GB2312"/>
          <w:color w:val="000000"/>
          <w:kern w:val="0"/>
          <w:sz w:val="32"/>
          <w:szCs w:val="32"/>
          <w:highlight w:val="none"/>
          <w:lang w:eastAsia="zh-CN" w:bidi="ar"/>
        </w:rPr>
        <w:t>指导金融机构为符合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条件的OPC，提供个人最高30万元、企业最高400万元的</w:t>
      </w:r>
      <w:r>
        <w:rPr>
          <w:rFonts w:hint="eastAsia" w:eastAsia="仿宋_GB2312"/>
          <w:color w:val="000000"/>
          <w:kern w:val="0"/>
          <w:sz w:val="32"/>
          <w:szCs w:val="32"/>
          <w:highlight w:val="none"/>
          <w:lang w:eastAsia="zh-CN" w:bidi="ar"/>
        </w:rPr>
        <w:t>创业担保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贷款</w:t>
      </w:r>
      <w:r>
        <w:rPr>
          <w:rFonts w:hint="eastAsia" w:eastAsia="仿宋_GB2312"/>
          <w:color w:val="000000"/>
          <w:kern w:val="0"/>
          <w:sz w:val="32"/>
          <w:szCs w:val="32"/>
          <w:highlight w:val="none"/>
          <w:lang w:eastAsia="zh-CN" w:bidi="ar"/>
        </w:rPr>
        <w:t>和贴息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支持。</w:t>
      </w:r>
      <w:r>
        <w:rPr>
          <w:rFonts w:hint="eastAsia" w:ascii="Times New Roman" w:hAnsi="Times New Roman" w:eastAsia="楷体_GB2312" w:cs="楷体_GB2312"/>
          <w:color w:val="000000"/>
          <w:kern w:val="0"/>
          <w:sz w:val="32"/>
          <w:szCs w:val="32"/>
          <w:highlight w:val="none"/>
          <w:lang w:eastAsia="zh-CN" w:bidi="ar"/>
        </w:rPr>
        <w:t>（责任单位：市人社局、市地方金融管理局、天津金融监管局、中国人民银行天津市分行等按职责分工负责）</w:t>
      </w:r>
    </w:p>
    <w:p w14:paraId="1170A146">
      <w:pPr>
        <w:widowControl/>
        <w:spacing w:beforeLines="0" w:afterLines="0" w:line="600" w:lineRule="exact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黑体"/>
          <w:sz w:val="32"/>
          <w:szCs w:val="32"/>
          <w:highlight w:val="none"/>
        </w:rPr>
        <w:t xml:space="preserve">    </w:t>
      </w:r>
      <w:r>
        <w:rPr>
          <w:rFonts w:hint="eastAsia" w:ascii="Times New Roman" w:hAnsi="Times New Roman" w:eastAsia="黑体"/>
          <w:sz w:val="32"/>
          <w:szCs w:val="32"/>
          <w:highlight w:val="none"/>
        </w:rPr>
        <w:t>八</w:t>
      </w:r>
      <w:r>
        <w:rPr>
          <w:rFonts w:ascii="Times New Roman" w:hAnsi="Times New Roman" w:eastAsia="黑体"/>
          <w:sz w:val="32"/>
          <w:szCs w:val="32"/>
          <w:highlight w:val="none"/>
        </w:rPr>
        <w:t>、加大专业运营商的招引力度。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鼓励各区或园区结合自身资源禀赋和主导产业等情况，择优引入不同垂类的产业生态运营商，并按照实际引进孵化OPC的绩效给予运营奖励。</w:t>
      </w:r>
      <w:r>
        <w:rPr>
          <w:rFonts w:hint="eastAsia" w:ascii="Times New Roman" w:hAnsi="Times New Roman" w:eastAsia="楷体_GB2312" w:cs="楷体_GB2312"/>
          <w:color w:val="000000"/>
          <w:kern w:val="0"/>
          <w:sz w:val="32"/>
          <w:szCs w:val="32"/>
          <w:highlight w:val="none"/>
          <w:lang w:eastAsia="zh-CN" w:bidi="ar"/>
        </w:rPr>
        <w:t>（责任单位：各区人民政府等按职责分工负责）</w:t>
      </w:r>
    </w:p>
    <w:p w14:paraId="016CF676">
      <w:pPr>
        <w:widowControl/>
        <w:spacing w:beforeLines="0" w:afterLines="0" w:line="600" w:lineRule="exact"/>
        <w:rPr>
          <w:rFonts w:hint="eastAsia"/>
          <w:highlight w:val="none"/>
        </w:rPr>
      </w:pPr>
      <w:r>
        <w:rPr>
          <w:rFonts w:ascii="Times New Roman" w:hAnsi="Times New Roman" w:eastAsia="黑体"/>
          <w:sz w:val="32"/>
          <w:szCs w:val="32"/>
          <w:highlight w:val="none"/>
        </w:rPr>
        <w:t xml:space="preserve">    </w:t>
      </w:r>
      <w:r>
        <w:rPr>
          <w:rFonts w:hint="eastAsia" w:ascii="Times New Roman" w:hAnsi="Times New Roman" w:eastAsia="黑体"/>
          <w:sz w:val="32"/>
          <w:szCs w:val="32"/>
          <w:highlight w:val="none"/>
        </w:rPr>
        <w:t>九</w:t>
      </w:r>
      <w:r>
        <w:rPr>
          <w:rFonts w:ascii="Times New Roman" w:hAnsi="Times New Roman" w:eastAsia="黑体"/>
          <w:sz w:val="32"/>
          <w:szCs w:val="32"/>
          <w:highlight w:val="none"/>
        </w:rPr>
        <w:t>、建立赛事选拔与跟踪扶持机制。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highlight w:val="none"/>
          <w:lang w:bidi="ar"/>
        </w:rPr>
        <w:t>依托“海河英才”交流展示活动等创业赛事平台，面向OPC创业者设立专项赛道或遴选优质创业项目，对获奖项目给予政策扶持。建立健全优秀创业项目跟踪服务长效机制，对大赛获奖项目落地本市的，优先推荐入驻创业孵化基地、优先对接创业担保贷款和投融资资源，形成“以赛促创、赛后陪跑”的持续扶持闭环。</w:t>
      </w:r>
      <w:r>
        <w:rPr>
          <w:rFonts w:hint="eastAsia" w:ascii="Times New Roman" w:hAnsi="Times New Roman" w:eastAsia="楷体_GB2312" w:cs="楷体_GB2312"/>
          <w:color w:val="000000"/>
          <w:kern w:val="0"/>
          <w:sz w:val="32"/>
          <w:szCs w:val="32"/>
          <w:highlight w:val="none"/>
          <w:lang w:eastAsia="zh-CN" w:bidi="ar"/>
        </w:rPr>
        <w:t>（责任单位：市人社局）</w:t>
      </w:r>
    </w:p>
    <w:p w14:paraId="03FC7B40">
      <w:pPr>
        <w:widowControl/>
        <w:spacing w:beforeLines="0" w:afterLines="0" w:line="600" w:lineRule="exact"/>
        <w:ind w:firstLine="640"/>
        <w:rPr>
          <w:rFonts w:hint="default" w:eastAsia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default" w:eastAsia="仿宋_GB2312" w:cs="Times New Roman"/>
          <w:color w:val="000000"/>
          <w:kern w:val="0"/>
          <w:sz w:val="32"/>
          <w:szCs w:val="32"/>
          <w:highlight w:val="none"/>
          <w:lang w:eastAsia="zh-CN" w:bidi="ar"/>
        </w:rPr>
        <w:t>本通知</w:t>
      </w:r>
      <w:r>
        <w:rPr>
          <w:rFonts w:hint="eastAsia" w:eastAsia="仿宋_GB2312" w:cs="Times New Roman"/>
          <w:color w:val="000000"/>
          <w:kern w:val="0"/>
          <w:sz w:val="32"/>
          <w:szCs w:val="32"/>
          <w:highlight w:val="none"/>
          <w:lang w:eastAsia="zh-CN" w:bidi="ar"/>
        </w:rPr>
        <w:t>自印发之日起施行，有效期三年。</w:t>
      </w:r>
    </w:p>
    <w:p w14:paraId="13F1ACED">
      <w:pPr>
        <w:rPr>
          <w:rFonts w:hint="eastAsia" w:ascii="Times New Roman" w:eastAsia="仿宋_GB2312"/>
          <w:sz w:val="32"/>
        </w:rPr>
      </w:pPr>
    </w:p>
    <w:p w14:paraId="4C727B80">
      <w:pPr>
        <w:rPr>
          <w:rFonts w:hint="eastAsia" w:ascii="Times New Roman" w:eastAsia="仿宋_GB2312"/>
          <w:sz w:val="32"/>
        </w:rPr>
      </w:pPr>
    </w:p>
    <w:p w14:paraId="10E9BA28">
      <w:pPr>
        <w:rPr>
          <w:rFonts w:hint="eastAsia" w:ascii="Times New Roman" w:eastAsia="仿宋_GB2312"/>
          <w:sz w:val="32"/>
        </w:rPr>
      </w:pPr>
    </w:p>
    <w:p w14:paraId="2AA002A5">
      <w:pPr>
        <w:pStyle w:val="2"/>
        <w:rPr>
          <w:rFonts w:hint="eastAsia" w:ascii="Times New Roman" w:eastAsia="仿宋_GB2312"/>
          <w:sz w:val="32"/>
        </w:rPr>
      </w:pPr>
    </w:p>
    <w:p w14:paraId="4E677C62">
      <w:pPr>
        <w:pStyle w:val="2"/>
        <w:rPr>
          <w:rFonts w:hint="eastAsia" w:ascii="Times New Roman" w:eastAsia="仿宋_GB2312"/>
          <w:sz w:val="32"/>
        </w:rPr>
      </w:pPr>
    </w:p>
    <w:p w14:paraId="03FA8BAD">
      <w:pPr>
        <w:pStyle w:val="2"/>
        <w:rPr>
          <w:rFonts w:hint="eastAsia" w:ascii="Times New Roman" w:eastAsia="仿宋_GB2312"/>
          <w:sz w:val="32"/>
        </w:rPr>
      </w:pPr>
    </w:p>
    <w:p w14:paraId="6505B02B">
      <w:pPr>
        <w:pStyle w:val="2"/>
        <w:rPr>
          <w:rFonts w:hint="eastAsia" w:ascii="Times New Roman" w:eastAsia="仿宋_GB2312"/>
          <w:sz w:val="32"/>
        </w:rPr>
      </w:pPr>
    </w:p>
    <w:p w14:paraId="58A3C8D8">
      <w:pPr>
        <w:spacing w:line="480" w:lineRule="exact"/>
        <w:ind w:left="210" w:leftChars="100" w:right="210" w:rightChars="100"/>
        <w:rPr>
          <w:rFonts w:hint="eastAsia"/>
        </w:rPr>
      </w:pPr>
    </w:p>
    <w:sectPr>
      <w:footerReference r:id="rId4" w:type="default"/>
      <w:footerReference r:id="rId5" w:type="even"/>
      <w:pgSz w:w="11906" w:h="16838"/>
      <w:pgMar w:top="2268" w:right="1587" w:bottom="1417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1A93EC-A7B2-4D7A-B2F0-3C481369D6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6113B19B-9CD4-466A-BE3F-A527A9F5A8D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946C4F5-EAA8-4BEB-9715-68F9831C71B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C70EAAE-817A-4E77-91BE-76B7DDE80CE2}"/>
  </w:font>
  <w:font w:name="文星简小标宋">
    <w:altName w:val="方正小标宋简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1249D0F3-BDA4-48F4-9E2B-D137782F15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BEE1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B29244A"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S3tjc0BAACnAwAADgAAAGRycy9lMm9Eb2MueG1srVNLbtswEN0X6B0I&#10;7mspR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BS3tj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B29244A"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0E61A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7D80FA">
                          <w:pPr>
                            <w:pStyle w:val="4"/>
                            <w:rPr>
                              <w:rStyle w:val="12"/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588398D1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7D80FA">
                    <w:pPr>
                      <w:pStyle w:val="4"/>
                      <w:rPr>
                        <w:rStyle w:val="12"/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588398D1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937D2">
    <w:pPr>
      <w:pStyle w:val="4"/>
      <w:framePr w:wrap="around" w:vAnchor="text" w:hAnchor="margin" w:xAlign="outside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35CD2E79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BDC"/>
    <w:rsid w:val="00041E55"/>
    <w:rsid w:val="000A44BF"/>
    <w:rsid w:val="00120125"/>
    <w:rsid w:val="00162B87"/>
    <w:rsid w:val="00233E93"/>
    <w:rsid w:val="00295077"/>
    <w:rsid w:val="002E1670"/>
    <w:rsid w:val="002E3A88"/>
    <w:rsid w:val="002F4A77"/>
    <w:rsid w:val="003F0BDC"/>
    <w:rsid w:val="004E7AF1"/>
    <w:rsid w:val="00542C72"/>
    <w:rsid w:val="00561774"/>
    <w:rsid w:val="0059190B"/>
    <w:rsid w:val="005B53CB"/>
    <w:rsid w:val="005F3A91"/>
    <w:rsid w:val="00637666"/>
    <w:rsid w:val="00653E0B"/>
    <w:rsid w:val="00864DF6"/>
    <w:rsid w:val="00896547"/>
    <w:rsid w:val="008E1795"/>
    <w:rsid w:val="00957982"/>
    <w:rsid w:val="009A720A"/>
    <w:rsid w:val="009D3C84"/>
    <w:rsid w:val="00A76EA1"/>
    <w:rsid w:val="00AC36C9"/>
    <w:rsid w:val="00AF4F42"/>
    <w:rsid w:val="00B7313E"/>
    <w:rsid w:val="00BB1763"/>
    <w:rsid w:val="00BB700D"/>
    <w:rsid w:val="00BD78A2"/>
    <w:rsid w:val="00BE0092"/>
    <w:rsid w:val="00C263D7"/>
    <w:rsid w:val="00C30132"/>
    <w:rsid w:val="00CC0423"/>
    <w:rsid w:val="00CC2B75"/>
    <w:rsid w:val="00CF1D21"/>
    <w:rsid w:val="00D51514"/>
    <w:rsid w:val="00D97787"/>
    <w:rsid w:val="00DB5A57"/>
    <w:rsid w:val="00DD0370"/>
    <w:rsid w:val="00E47CEC"/>
    <w:rsid w:val="00F21FFE"/>
    <w:rsid w:val="00F603A0"/>
    <w:rsid w:val="00F60D89"/>
    <w:rsid w:val="00F6388A"/>
    <w:rsid w:val="00FA15B8"/>
    <w:rsid w:val="00FC5D95"/>
    <w:rsid w:val="0FB7BF81"/>
    <w:rsid w:val="1DBF3F64"/>
    <w:rsid w:val="29963AFA"/>
    <w:rsid w:val="37757A69"/>
    <w:rsid w:val="3DEFF84C"/>
    <w:rsid w:val="3FDB30B7"/>
    <w:rsid w:val="4DEFCFA2"/>
    <w:rsid w:val="5B3FB14D"/>
    <w:rsid w:val="5BEDAF4A"/>
    <w:rsid w:val="5EFA6DF9"/>
    <w:rsid w:val="67FFE5BC"/>
    <w:rsid w:val="73FF30EE"/>
    <w:rsid w:val="76FB3461"/>
    <w:rsid w:val="77EFD075"/>
    <w:rsid w:val="7D671447"/>
    <w:rsid w:val="7DBD1421"/>
    <w:rsid w:val="7FFBA12F"/>
    <w:rsid w:val="7FFC1768"/>
    <w:rsid w:val="7FFC9EA3"/>
    <w:rsid w:val="7FFFB4A9"/>
    <w:rsid w:val="9BFFD69F"/>
    <w:rsid w:val="AFFF3D23"/>
    <w:rsid w:val="BB97D7AF"/>
    <w:rsid w:val="BBFB1C74"/>
    <w:rsid w:val="BFD222D6"/>
    <w:rsid w:val="CBFF07F0"/>
    <w:rsid w:val="D31FF7A7"/>
    <w:rsid w:val="D66EAC8E"/>
    <w:rsid w:val="DF554C92"/>
    <w:rsid w:val="DFFFA919"/>
    <w:rsid w:val="EF4F995E"/>
    <w:rsid w:val="EFDFBE14"/>
    <w:rsid w:val="EFFB7E8F"/>
    <w:rsid w:val="F776FA2C"/>
    <w:rsid w:val="F77BBB9D"/>
    <w:rsid w:val="FEB7116D"/>
    <w:rsid w:val="FFE58BA5"/>
    <w:rsid w:val="FFFA02F9"/>
    <w:rsid w:val="FFFDF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spacing w:line="560" w:lineRule="exact"/>
      <w:ind w:firstLine="721" w:firstLineChars="200"/>
    </w:pPr>
    <w:rPr>
      <w:rFonts w:eastAsia="仿宋_GB2312"/>
      <w:sz w:val="32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sz w:val="44"/>
    </w:r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Body Text Indent"/>
    <w:basedOn w:val="1"/>
    <w:qFormat/>
    <w:uiPriority w:val="0"/>
    <w:pPr>
      <w:ind w:firstLine="360"/>
    </w:pPr>
  </w:style>
  <w:style w:type="paragraph" w:styleId="7">
    <w:name w:val="Date"/>
    <w:basedOn w:val="1"/>
    <w:next w:val="1"/>
    <w:qFormat/>
    <w:uiPriority w:val="0"/>
    <w:rPr>
      <w:rFonts w:ascii="仿宋_GB2312" w:eastAsia="仿宋_GB2312"/>
      <w:sz w:val="32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Hei Ti"/>
    <w:qFormat/>
    <w:uiPriority w:val="0"/>
    <w:rPr>
      <w:rFonts w:ascii="黑体" w:hAnsi="黑体" w:eastAsia="黑体" w:cs="黑体"/>
      <w:sz w:val="32"/>
    </w:rPr>
  </w:style>
  <w:style w:type="character" w:customStyle="1" w:styleId="14">
    <w:name w:val="Hei Ti Bold"/>
    <w:qFormat/>
    <w:uiPriority w:val="0"/>
    <w:rPr>
      <w:rFonts w:ascii="黑体" w:hAnsi="黑体" w:eastAsia="黑体" w:cs="黑体"/>
      <w:b/>
      <w:sz w:val="32"/>
    </w:rPr>
  </w:style>
  <w:style w:type="character" w:customStyle="1" w:styleId="15">
    <w:name w:val="Hei Ti Bold1"/>
    <w:qFormat/>
    <w:uiPriority w:val="0"/>
    <w:rPr>
      <w:rFonts w:ascii="黑体" w:hAnsi="黑体" w:eastAsia="黑体" w:cs="黑体"/>
      <w:b/>
      <w:sz w:val="36"/>
    </w:rPr>
  </w:style>
  <w:style w:type="character" w:customStyle="1" w:styleId="16">
    <w:name w:val="GB_231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17">
    <w:name w:val="GB_23121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18">
    <w:name w:val="Red_Color"/>
    <w:qFormat/>
    <w:uiPriority w:val="0"/>
    <w:rPr>
      <w:rFonts w:ascii="方正小标宋简体" w:hAnsi="方正小标宋简体" w:eastAsia="方正小标宋简体" w:cs="方正小标宋简体"/>
      <w:color w:val="FF0000"/>
      <w:sz w:val="65"/>
    </w:rPr>
  </w:style>
  <w:style w:type="character" w:customStyle="1" w:styleId="19">
    <w:name w:val="KaiTi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20">
    <w:name w:val="Fz_Xbs"/>
    <w:qFormat/>
    <w:uiPriority w:val="0"/>
    <w:rPr>
      <w:rFonts w:ascii="方正小标宋简体" w:hAnsi="方正小标宋简体" w:eastAsia="方正小标宋简体" w:cs="方正小标宋简体"/>
      <w:sz w:val="44"/>
    </w:rPr>
  </w:style>
  <w:style w:type="paragraph" w:customStyle="1" w:styleId="21">
    <w:name w:val="HtmlNormal"/>
    <w:basedOn w:val="1"/>
    <w:qFormat/>
    <w:uiPriority w:val="0"/>
    <w:pPr>
      <w:spacing w:before="100" w:beforeAutospacing="1" w:after="100" w:afterAutospacing="1"/>
      <w:ind w:left="0" w:right="0"/>
      <w:jc w:val="left"/>
      <w:textAlignment w:val="baseline"/>
    </w:pPr>
    <w:rPr>
      <w:rFonts w:ascii="Calibri" w:hAnsi="Calibri" w:eastAsia="宋体"/>
      <w:kern w:val="0"/>
      <w:sz w:val="24"/>
      <w:szCs w:val="24"/>
      <w:lang w:val="en-US" w:eastAsia="zh-CN"/>
    </w:rPr>
  </w:style>
  <w:style w:type="character" w:customStyle="1" w:styleId="22">
    <w:name w:val="Hei Ti1"/>
    <w:qFormat/>
    <w:uiPriority w:val="0"/>
    <w:rPr>
      <w:rFonts w:ascii="黑体" w:hAnsi="黑体" w:eastAsia="黑体" w:cs="黑体"/>
      <w:sz w:val="32"/>
    </w:rPr>
  </w:style>
  <w:style w:type="character" w:customStyle="1" w:styleId="23">
    <w:name w:val="Hei Ti Bold2"/>
    <w:qFormat/>
    <w:uiPriority w:val="0"/>
    <w:rPr>
      <w:rFonts w:ascii="黑体" w:hAnsi="黑体" w:eastAsia="黑体" w:cs="黑体"/>
      <w:b/>
      <w:sz w:val="32"/>
    </w:rPr>
  </w:style>
  <w:style w:type="character" w:customStyle="1" w:styleId="24">
    <w:name w:val="Hei Ti Bold3"/>
    <w:qFormat/>
    <w:uiPriority w:val="0"/>
    <w:rPr>
      <w:rFonts w:ascii="黑体" w:hAnsi="黑体" w:eastAsia="黑体" w:cs="黑体"/>
      <w:b/>
      <w:sz w:val="36"/>
    </w:rPr>
  </w:style>
  <w:style w:type="character" w:customStyle="1" w:styleId="25">
    <w:name w:val="GB_2312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26">
    <w:name w:val="GB_23123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27">
    <w:name w:val="Red_Color1"/>
    <w:qFormat/>
    <w:uiPriority w:val="0"/>
    <w:rPr>
      <w:rFonts w:ascii="方正小标宋简体" w:hAnsi="方正小标宋简体" w:eastAsia="方正小标宋简体" w:cs="方正小标宋简体"/>
      <w:color w:val="000000"/>
      <w:sz w:val="65"/>
    </w:rPr>
  </w:style>
  <w:style w:type="character" w:customStyle="1" w:styleId="28">
    <w:name w:val="KaiTi1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29">
    <w:name w:val="Fz_Xbs1"/>
    <w:qFormat/>
    <w:uiPriority w:val="0"/>
    <w:rPr>
      <w:rFonts w:ascii="方正小标宋简体" w:hAnsi="方正小标宋简体" w:eastAsia="方正小标宋简体" w:cs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6</Pages>
  <Words>826</Words>
  <Characters>850</Characters>
  <Lines>1</Lines>
  <Paragraphs>1</Paragraphs>
  <TotalTime>27</TotalTime>
  <ScaleCrop>false</ScaleCrop>
  <LinksUpToDate>false</LinksUpToDate>
  <CharactersWithSpaces>1008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2020-09-22T22:56:00Z</dcterms:created>
  <dc:creator>admin</dc:creator>
  <cp:lastModifiedBy>佟萌萌</cp:lastModifiedBy>
  <cp:lastPrinted>2026-08-26T06:16:00Z</cp:lastPrinted>
  <dcterms:modified xsi:type="dcterms:W3CDTF">2026-09-01T03:35:24Z</dcterms:modified>
  <dc:title>【信息公开建议】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31E759DB75BC98CE58F48C6A9934E096</vt:lpwstr>
  </property>
  <property fmtid="{D5CDD505-2E9C-101B-9397-08002B2CF9AE}" pid="4" name="KSOTemplateDocerSaveRecord">
    <vt:lpwstr>eyJoZGlkIjoiYzA2Zjg1M2UzNzA3NDhiMTI3MTJmMDBmNzZjODczMDgiLCJ1c2VySWQiOiIxNjg5NjI2OTUwIn0=</vt:lpwstr>
  </property>
</Properties>
</file>