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6118A">
      <w:pPr>
        <w:pStyle w:val="2"/>
        <w:adjustRightInd w:val="0"/>
        <w:spacing w:line="440" w:lineRule="exact"/>
        <w:jc w:val="both"/>
        <w:rPr>
          <w:rFonts w:hAnsi="宋体"/>
          <w:b/>
          <w:bCs/>
          <w:szCs w:val="44"/>
        </w:rPr>
      </w:pPr>
    </w:p>
    <w:p w14:paraId="1BADBCA5">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文星简小标宋"/>
          <w:szCs w:val="44"/>
        </w:rPr>
      </w:pPr>
      <w:r>
        <w:rPr>
          <w:rFonts w:hint="eastAsia" w:ascii="Times New Roman" w:hAnsi="Times New Roman" w:eastAsia="方正小标宋简体" w:cs="方正小标宋简体"/>
          <w:b w:val="0"/>
          <w:bCs w:val="0"/>
          <w:color w:val="000000"/>
          <w:sz w:val="44"/>
          <w:szCs w:val="44"/>
        </w:rPr>
        <w:t>市人社局关于印发《天津市</w:t>
      </w:r>
      <w:r>
        <w:rPr>
          <w:rFonts w:hint="default" w:ascii="Times New Roman" w:hAnsi="Times New Roman" w:eastAsia="方正小标宋简体" w:cs="Times New Roman"/>
          <w:b w:val="0"/>
          <w:bCs w:val="0"/>
          <w:color w:val="000000"/>
          <w:sz w:val="44"/>
          <w:szCs w:val="44"/>
        </w:rPr>
        <w:t>202</w:t>
      </w:r>
      <w:r>
        <w:rPr>
          <w:rFonts w:hint="default" w:ascii="Times New Roman" w:hAnsi="Times New Roman" w:eastAsia="方正小标宋简体" w:cs="Times New Roman"/>
          <w:b w:val="0"/>
          <w:bCs w:val="0"/>
          <w:color w:val="000000"/>
          <w:sz w:val="44"/>
          <w:szCs w:val="44"/>
          <w:lang w:val="en-US" w:eastAsia="zh-CN"/>
        </w:rPr>
        <w:t>6</w:t>
      </w:r>
      <w:r>
        <w:rPr>
          <w:rFonts w:hint="eastAsia" w:ascii="Times New Roman" w:hAnsi="Times New Roman" w:eastAsia="方正小标宋简体" w:cs="方正小标宋简体"/>
          <w:b w:val="0"/>
          <w:bCs w:val="0"/>
          <w:color w:val="000000"/>
          <w:sz w:val="44"/>
          <w:szCs w:val="44"/>
        </w:rPr>
        <w:t>年高校毕业生等青年就业服务攻坚行动实施方案》的通知</w:t>
      </w:r>
    </w:p>
    <w:p w14:paraId="52FC4710">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sz w:val="32"/>
          <w:szCs w:val="32"/>
        </w:rPr>
      </w:pPr>
    </w:p>
    <w:p w14:paraId="031AB918">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Times New Roman" w:eastAsia="仿宋_GB2312"/>
          <w:sz w:val="32"/>
          <w:lang w:eastAsia="zh-CN"/>
        </w:rPr>
      </w:pPr>
      <w:r>
        <w:rPr>
          <w:rFonts w:hint="default" w:ascii="Times New Roman" w:hAnsi="Times New Roman" w:eastAsia="仿宋_GB2312" w:cs="Times New Roman"/>
          <w:color w:val="000000"/>
          <w:sz w:val="32"/>
          <w:szCs w:val="32"/>
        </w:rPr>
        <w:t>各区人力资源和社会保障局</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有关单位</w:t>
      </w:r>
      <w:r>
        <w:rPr>
          <w:rFonts w:hint="eastAsia" w:eastAsia="仿宋_GB2312" w:cs="Times New Roman"/>
          <w:color w:val="000000"/>
          <w:sz w:val="32"/>
          <w:szCs w:val="32"/>
          <w:lang w:eastAsia="zh-CN"/>
        </w:rPr>
        <w:t>：</w:t>
      </w:r>
    </w:p>
    <w:p w14:paraId="6F7943F5">
      <w:pPr>
        <w:pStyle w:val="7"/>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现将《天津市202</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年高校毕业生等青年就业服务攻坚行动实施方案》印发给你们，请结合实际抓好落实。</w:t>
      </w:r>
    </w:p>
    <w:p w14:paraId="0C2325D3">
      <w:pPr>
        <w:pStyle w:val="7"/>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仿宋_GB2312"/>
          <w:color w:val="000000"/>
          <w:sz w:val="31"/>
          <w:szCs w:val="31"/>
        </w:rPr>
      </w:pPr>
    </w:p>
    <w:p w14:paraId="311092AD">
      <w:pPr>
        <w:pStyle w:val="7"/>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仿宋_GB2312"/>
          <w:color w:val="000000"/>
          <w:sz w:val="31"/>
          <w:szCs w:val="31"/>
        </w:rPr>
      </w:pPr>
    </w:p>
    <w:p w14:paraId="3EDF817D">
      <w:pPr>
        <w:pStyle w:val="7"/>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color w:val="000000"/>
          <w:sz w:val="32"/>
          <w:szCs w:val="32"/>
        </w:rPr>
      </w:pPr>
    </w:p>
    <w:p w14:paraId="6E7E5713">
      <w:pPr>
        <w:pStyle w:val="7"/>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月</w:t>
      </w:r>
      <w:r>
        <w:rPr>
          <w:rFonts w:hint="default" w:ascii="Times New Roman" w:hAnsi="Times New Roman" w:eastAsia="仿宋_GB2312" w:cs="Times New Roman"/>
          <w:color w:val="000000"/>
          <w:sz w:val="32"/>
          <w:szCs w:val="32"/>
          <w:lang w:val="en" w:eastAsia="zh-CN"/>
        </w:rPr>
        <w:t>29</w:t>
      </w:r>
      <w:r>
        <w:rPr>
          <w:rFonts w:hint="default" w:ascii="Times New Roman" w:hAnsi="Times New Roman" w:eastAsia="仿宋_GB2312" w:cs="Times New Roman"/>
          <w:color w:val="000000"/>
          <w:sz w:val="32"/>
          <w:szCs w:val="32"/>
        </w:rPr>
        <w:t>日</w:t>
      </w:r>
    </w:p>
    <w:p w14:paraId="5228763F">
      <w:pPr>
        <w:pStyle w:val="3"/>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s="Times New Roman"/>
          <w:color w:val="000000"/>
          <w:sz w:val="32"/>
          <w:szCs w:val="32"/>
          <w:lang w:eastAsia="zh-CN"/>
        </w:rPr>
        <w:sectPr>
          <w:footerReference r:id="rId3" w:type="default"/>
          <w:footerReference r:id="rId4" w:type="even"/>
          <w:pgSz w:w="11906" w:h="16838"/>
          <w:pgMar w:top="1440" w:right="1531" w:bottom="1440" w:left="1531" w:header="851" w:footer="992" w:gutter="0"/>
          <w:pgNumType w:fmt="decimal"/>
          <w:cols w:space="425" w:num="1"/>
          <w:docGrid w:type="lines" w:linePitch="312" w:charSpace="0"/>
        </w:sectPr>
      </w:pPr>
      <w:r>
        <w:rPr>
          <w:rFonts w:hint="default" w:ascii="Times New Roman" w:hAnsi="Times New Roman" w:eastAsia="仿宋_GB2312" w:cs="Times New Roman"/>
          <w:color w:val="000000"/>
          <w:sz w:val="32"/>
          <w:szCs w:val="32"/>
        </w:rPr>
        <w:t>（此件主动公开</w:t>
      </w:r>
      <w:r>
        <w:rPr>
          <w:rFonts w:hint="eastAsia" w:eastAsia="仿宋_GB2312" w:cs="Times New Roman"/>
          <w:color w:val="000000"/>
          <w:sz w:val="32"/>
          <w:szCs w:val="32"/>
          <w:lang w:eastAsia="zh-CN"/>
        </w:rPr>
        <w:t>）</w:t>
      </w:r>
    </w:p>
    <w:p w14:paraId="00BC4E1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rPr>
      </w:pPr>
      <w:bookmarkStart w:id="0" w:name="_GoBack"/>
      <w:r>
        <w:rPr>
          <w:rFonts w:hint="eastAsia" w:ascii="Times New Roman" w:hAnsi="Times New Roman" w:eastAsia="方正小标宋简体" w:cs="方正小标宋简体"/>
          <w:sz w:val="44"/>
          <w:szCs w:val="44"/>
          <w:lang w:val="en-US" w:eastAsia="zh-CN"/>
        </w:rPr>
        <w:t>天津市</w:t>
      </w:r>
      <w:r>
        <w:rPr>
          <w:rFonts w:hint="eastAsia" w:ascii="Times New Roman" w:hAnsi="Times New Roman" w:eastAsia="仿宋_GB2312" w:cs="Times New Roman"/>
          <w:color w:val="000000"/>
          <w:kern w:val="0"/>
          <w:sz w:val="44"/>
          <w:szCs w:val="44"/>
          <w:lang w:val="en-US" w:eastAsia="zh-CN"/>
        </w:rPr>
        <w:t>2026</w:t>
      </w:r>
      <w:r>
        <w:rPr>
          <w:rFonts w:hint="eastAsia" w:ascii="Times New Roman" w:hAnsi="Times New Roman" w:eastAsia="方正小标宋简体" w:cs="方正小标宋简体"/>
          <w:sz w:val="44"/>
          <w:szCs w:val="44"/>
        </w:rPr>
        <w:t>年高校毕业生等青年</w:t>
      </w:r>
    </w:p>
    <w:p w14:paraId="21EB426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就业服务攻坚行动实施方案</w:t>
      </w:r>
    </w:p>
    <w:p w14:paraId="65C7FCD6">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方正小标宋简体" w:cs="方正小标宋简体"/>
        </w:rPr>
      </w:pPr>
      <w:r>
        <w:rPr>
          <w:rFonts w:hint="eastAsia" w:ascii="Times New Roman" w:hAnsi="Times New Roman" w:eastAsia="方正小标宋简体" w:cs="方正小标宋简体"/>
        </w:rPr>
        <w:t xml:space="preserve"> </w:t>
      </w:r>
    </w:p>
    <w:p w14:paraId="05F3BC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为深入贯彻</w:t>
      </w:r>
      <w:r>
        <w:rPr>
          <w:rFonts w:hint="eastAsia" w:ascii="Times New Roman" w:hAnsi="Times New Roman" w:eastAsia="仿宋_GB2312" w:cs="仿宋_GB2312"/>
          <w:sz w:val="32"/>
          <w:szCs w:val="32"/>
          <w:lang w:val="en-US" w:eastAsia="zh-CN"/>
        </w:rPr>
        <w:t>党中央、国务院关于高校毕业生就业工作决策部署和市委、市政府工作要求，全力以赴促进未就业高校毕业生等青年就业，</w:t>
      </w:r>
      <w:r>
        <w:rPr>
          <w:rFonts w:hint="eastAsia" w:ascii="Times New Roman" w:hAnsi="Times New Roman" w:eastAsia="仿宋_GB2312" w:cs="仿宋_GB2312"/>
          <w:sz w:val="32"/>
          <w:szCs w:val="32"/>
        </w:rPr>
        <w:t>稳住高校毕业生就业基本盘，决定在全市范围内开</w:t>
      </w:r>
      <w:r>
        <w:rPr>
          <w:rFonts w:hint="eastAsia" w:ascii="Times New Roman" w:hAnsi="Times New Roman" w:eastAsia="仿宋_GB2312" w:cs="Times New Roman"/>
          <w:color w:val="000000"/>
          <w:kern w:val="0"/>
          <w:sz w:val="32"/>
          <w:szCs w:val="32"/>
          <w:lang w:val="en-US" w:eastAsia="zh-CN"/>
        </w:rPr>
        <w:t>展2026年</w:t>
      </w:r>
      <w:r>
        <w:rPr>
          <w:rFonts w:hint="eastAsia" w:ascii="Times New Roman" w:hAnsi="Times New Roman" w:eastAsia="仿宋_GB2312" w:cs="仿宋_GB2312"/>
          <w:sz w:val="32"/>
          <w:szCs w:val="32"/>
        </w:rPr>
        <w:t>高校毕业生等青年就业服务攻坚行动，集中资源、集中力量、集中时段对未就业</w:t>
      </w:r>
      <w:r>
        <w:rPr>
          <w:rFonts w:hint="eastAsia" w:ascii="Times New Roman" w:hAnsi="Times New Roman" w:eastAsia="仿宋_GB2312" w:cs="仿宋_GB2312"/>
          <w:sz w:val="32"/>
          <w:szCs w:val="32"/>
          <w:lang w:val="en-US" w:eastAsia="zh-CN"/>
        </w:rPr>
        <w:t>高校</w:t>
      </w:r>
      <w:r>
        <w:rPr>
          <w:rFonts w:hint="eastAsia" w:ascii="Times New Roman" w:hAnsi="Times New Roman" w:eastAsia="仿宋_GB2312" w:cs="仿宋_GB2312"/>
          <w:sz w:val="32"/>
          <w:szCs w:val="32"/>
        </w:rPr>
        <w:t>毕业生</w:t>
      </w:r>
      <w:r>
        <w:rPr>
          <w:rFonts w:hint="eastAsia" w:ascii="Times New Roman" w:hAnsi="Times New Roman" w:eastAsia="仿宋_GB2312" w:cs="仿宋_GB2312"/>
          <w:sz w:val="32"/>
          <w:szCs w:val="32"/>
          <w:lang w:val="en-US" w:eastAsia="zh-CN"/>
        </w:rPr>
        <w:t>等青年</w:t>
      </w:r>
      <w:r>
        <w:rPr>
          <w:rFonts w:hint="eastAsia" w:ascii="Times New Roman" w:hAnsi="Times New Roman" w:eastAsia="仿宋_GB2312" w:cs="仿宋_GB2312"/>
          <w:sz w:val="32"/>
          <w:szCs w:val="32"/>
        </w:rPr>
        <w:t>实施全方位、精准化就业帮扶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现制定如下实施方案。</w:t>
      </w:r>
    </w:p>
    <w:p w14:paraId="4564C7D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一、工作目标</w:t>
      </w:r>
    </w:p>
    <w:p w14:paraId="5CD93B9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以</w:t>
      </w:r>
      <w:r>
        <w:rPr>
          <w:rFonts w:hint="eastAsia" w:ascii="Times New Roman" w:hAnsi="Times New Roman" w:eastAsia="仿宋_GB2312" w:cs="仿宋_GB2312"/>
          <w:sz w:val="32"/>
          <w:szCs w:val="32"/>
          <w:lang w:val="en-US" w:eastAsia="zh-CN"/>
        </w:rPr>
        <w:t>促进</w:t>
      </w:r>
      <w:r>
        <w:rPr>
          <w:rFonts w:hint="eastAsia" w:ascii="Times New Roman" w:hAnsi="Times New Roman" w:eastAsia="仿宋_GB2312" w:cs="Times New Roman"/>
          <w:color w:val="000000"/>
          <w:kern w:val="0"/>
          <w:sz w:val="32"/>
          <w:szCs w:val="32"/>
          <w:lang w:val="en-US" w:eastAsia="zh-CN"/>
        </w:rPr>
        <w:t>2026届离校未就业高校毕业生、16至24岁登记失业青年就业为目标，全面摸清人员底数、就业意愿、培训需求，建立动态管理台账，普遍提供实名登记、政策宣介、职业指导、岗位推荐、能力提升等就业服务，通过多渠道岗位开发、多元化培训赋能、精细化跟踪服务，力争有就业意</w:t>
      </w:r>
      <w:r>
        <w:rPr>
          <w:rFonts w:hint="eastAsia" w:ascii="Times New Roman" w:hAnsi="Times New Roman" w:eastAsia="仿宋_GB2312" w:cs="仿宋_GB2312"/>
          <w:sz w:val="32"/>
          <w:szCs w:val="32"/>
          <w:lang w:val="en-US" w:eastAsia="zh-CN"/>
        </w:rPr>
        <w:t>愿的未就业高校毕业生和登记失业青年年底前实现就业或参加到就业准备活动中。</w:t>
      </w:r>
    </w:p>
    <w:p w14:paraId="513AF52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二、行动主题</w:t>
      </w:r>
    </w:p>
    <w:p w14:paraId="393E9E7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攻坚促就业  奋进创未来</w:t>
      </w:r>
    </w:p>
    <w:p w14:paraId="6604668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三、行动时间</w:t>
      </w:r>
    </w:p>
    <w:p w14:paraId="15B05B5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2026年7月至12月</w:t>
      </w:r>
    </w:p>
    <w:p w14:paraId="19239F8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四、主要举措</w:t>
      </w:r>
    </w:p>
    <w:p w14:paraId="37C3264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楷体_GB2312" w:cs="楷体_GB2312"/>
          <w:sz w:val="32"/>
          <w:szCs w:val="32"/>
          <w:lang w:val="en-US" w:eastAsia="zh-CN"/>
        </w:rPr>
        <w:t>（一）公共招聘活动招用一批。</w:t>
      </w:r>
      <w:r>
        <w:rPr>
          <w:rFonts w:hint="eastAsia" w:ascii="Times New Roman" w:hAnsi="Times New Roman" w:eastAsia="仿宋_GB2312" w:cs="仿宋_GB2312"/>
          <w:sz w:val="32"/>
          <w:szCs w:val="32"/>
        </w:rPr>
        <w:t>搭建官方公共招聘主阵地，</w:t>
      </w:r>
      <w:r>
        <w:rPr>
          <w:rFonts w:hint="eastAsia" w:ascii="Times New Roman" w:hAnsi="Times New Roman" w:eastAsia="仿宋_GB2312" w:cs="仿宋_GB2312"/>
          <w:sz w:val="32"/>
          <w:szCs w:val="32"/>
          <w:lang w:val="en-US" w:eastAsia="zh-CN"/>
        </w:rPr>
        <w:t>按</w:t>
      </w:r>
      <w:r>
        <w:rPr>
          <w:rFonts w:hint="eastAsia" w:ascii="Times New Roman" w:hAnsi="Times New Roman" w:eastAsia="仿宋_GB2312" w:cs="Times New Roman"/>
          <w:color w:val="000000"/>
          <w:kern w:val="0"/>
          <w:sz w:val="32"/>
          <w:szCs w:val="32"/>
          <w:lang w:val="en-US" w:eastAsia="zh-CN"/>
        </w:rPr>
        <w:t>照2026年全市公共就业招聘专项活动安排，线下接续举办百日千万招聘、民营企业服务月、金秋招聘月、全国城市联合招聘秋季专场、人力资源市场高校毕业生就业服务专项行动等活动，线上依托人社公共就业服务平台，常态化开展直播带岗、直播探岗等活动，结合实际灵活举办专业化、小型化“小而美”</w:t>
      </w:r>
      <w:r>
        <w:rPr>
          <w:rFonts w:hint="eastAsia" w:eastAsia="仿宋_GB2312" w:cs="Times New Roman"/>
          <w:color w:val="000000"/>
          <w:kern w:val="0"/>
          <w:sz w:val="32"/>
          <w:szCs w:val="32"/>
          <w:lang w:val="en-US" w:eastAsia="zh-CN"/>
        </w:rPr>
        <w:t>、</w:t>
      </w:r>
      <w:r>
        <w:rPr>
          <w:rFonts w:hint="eastAsia" w:ascii="Times New Roman" w:hAnsi="Times New Roman" w:eastAsia="仿宋_GB2312" w:cs="Times New Roman"/>
          <w:color w:val="000000"/>
          <w:kern w:val="0"/>
          <w:sz w:val="32"/>
          <w:szCs w:val="32"/>
          <w:lang w:val="en-US" w:eastAsia="zh-CN"/>
        </w:rPr>
        <w:t>“专而精”特色招聘，加密招聘频次，扩大服务供给，确保日日有服务、周周有招聘、月月有活动。</w:t>
      </w:r>
    </w:p>
    <w:p w14:paraId="647C955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楷体_GB2312" w:cs="楷体_GB2312"/>
          <w:sz w:val="32"/>
          <w:szCs w:val="32"/>
          <w:lang w:val="en-US" w:eastAsia="zh-CN"/>
        </w:rPr>
        <w:t>（二）重点企业项目吸纳一批。</w:t>
      </w:r>
      <w:r>
        <w:rPr>
          <w:rFonts w:hint="eastAsia" w:ascii="Times New Roman" w:hAnsi="Times New Roman" w:eastAsia="仿宋_GB2312" w:cs="Times New Roman"/>
          <w:color w:val="000000"/>
          <w:kern w:val="0"/>
          <w:sz w:val="32"/>
          <w:szCs w:val="32"/>
          <w:lang w:val="en-US" w:eastAsia="zh-CN"/>
        </w:rPr>
        <w:t>依托重点企业用工服务保障机制，组织人社专员通过电话联系、入企走访、现场调研等方式，掌握重点企业招聘需求；强化项目建设与就业协同联动，积极对接发展改革、住房城乡建设、交通运输、农业农村等部门，动态摸排重大项目用人需求，及时衔接岗位信息发布、专场招聘等工作，加强与高校毕业生等青年求职信息双向匹配。对招用高校毕业生等青年的用人单位，加快落实社保补贴、岗位补贴等政策，促进重点企业重点项目稳定就业岗位。</w:t>
      </w:r>
    </w:p>
    <w:p w14:paraId="6FBC455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楷体_GB2312" w:cs="楷体_GB2312"/>
          <w:sz w:val="32"/>
          <w:szCs w:val="32"/>
          <w:lang w:val="en-US" w:eastAsia="zh-CN"/>
        </w:rPr>
        <w:t>（三）就业见习锻炼留用一批。</w:t>
      </w:r>
      <w:r>
        <w:rPr>
          <w:rFonts w:hint="eastAsia" w:ascii="Times New Roman" w:hAnsi="Times New Roman" w:eastAsia="仿宋_GB2312" w:cs="Times New Roman"/>
          <w:color w:val="000000"/>
          <w:kern w:val="0"/>
          <w:sz w:val="32"/>
          <w:szCs w:val="32"/>
          <w:lang w:val="en-US" w:eastAsia="zh-CN"/>
        </w:rPr>
        <w:t>新认定一批就业见习基地，动员事业单位、国企、科研院所、优质民企、社会组织等积极申报，扩大管理类、科研类、技术类等高质量见习岗位规模。加大优秀就业见习基地、优质见习岗位宣传力度，组织见习推介会、见习招聘会等，对暂无合适岗位、经验不足的高校毕业生等青年，优先推荐进入见习岗位实操锻炼。鼓励见习基地留用优秀见习人员，按规定给予就业见习补贴、留用奖励、剩余期限见习补贴，对留用率超过50%的，按规定提高留用奖励标准。</w:t>
      </w:r>
    </w:p>
    <w:p w14:paraId="5F812A0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楷体_GB2312" w:cs="楷体_GB2312"/>
          <w:sz w:val="32"/>
          <w:szCs w:val="32"/>
          <w:lang w:val="en-US" w:eastAsia="zh-CN"/>
        </w:rPr>
        <w:t>（四）扶持自主创业带动一批。</w:t>
      </w:r>
      <w:r>
        <w:rPr>
          <w:rFonts w:hint="eastAsia" w:ascii="Times New Roman" w:hAnsi="Times New Roman" w:eastAsia="仿宋_GB2312" w:cs="Times New Roman"/>
          <w:color w:val="000000"/>
          <w:kern w:val="0"/>
          <w:sz w:val="32"/>
          <w:szCs w:val="32"/>
          <w:lang w:val="en-US" w:eastAsia="zh-CN"/>
        </w:rPr>
        <w:t>依托创业培训机构、创业指导师工作室、创业导师队伍，为有创业需求的高校毕业生等青年提供免费创业培训、创业项目推介、创业陪跑等一条龙服务。鼓励高校毕业生等青年开办“一人公司”、网店、文创工作室、社区服务门店、涉农创业项目等，入驻创业孵化基地，落实创业担保贷款、一次性创业补贴、创业房租补贴等政策。开展“源来好创业”资源服务暨“创业8＋N”对接活动，搭建项目展示、交流对接、融资服务平台，以特色创业活动激发创业动能。</w:t>
      </w:r>
    </w:p>
    <w:p w14:paraId="5D8AA82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楷体_GB2312" w:cs="楷体_GB2312"/>
          <w:sz w:val="32"/>
          <w:szCs w:val="32"/>
          <w:lang w:val="en-US" w:eastAsia="zh-CN"/>
        </w:rPr>
        <w:t>（五）鼓励灵活就业支持一批。</w:t>
      </w:r>
      <w:r>
        <w:rPr>
          <w:rFonts w:hint="eastAsia" w:ascii="Times New Roman" w:hAnsi="Times New Roman" w:eastAsia="仿宋_GB2312" w:cs="Times New Roman"/>
          <w:color w:val="000000"/>
          <w:kern w:val="0"/>
          <w:sz w:val="32"/>
          <w:szCs w:val="32"/>
          <w:lang w:val="en-US" w:eastAsia="zh-CN"/>
        </w:rPr>
        <w:t>鼓励高校毕业生等青年通过网络零售、物流配送、网络预约便民服务、线上教育培训等互联网平台企业就业，支持从事自媒体运营、线上设计、家教、家政服务、网约车运维、项目兼职等灵活就业。对实现灵活就业的本市高校毕业生，引导其进行就业登记，参加社会保险，按规定给予最长2年的社会保险补贴。</w:t>
      </w:r>
    </w:p>
    <w:p w14:paraId="7E18E9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楷体_GB2312" w:cs="楷体_GB2312"/>
          <w:sz w:val="32"/>
          <w:szCs w:val="32"/>
          <w:lang w:val="en-US" w:eastAsia="zh-CN"/>
        </w:rPr>
        <w:t>（六）职业技能培训赋能一批。</w:t>
      </w:r>
      <w:r>
        <w:rPr>
          <w:rFonts w:hint="eastAsia" w:ascii="Times New Roman" w:hAnsi="Times New Roman" w:eastAsia="仿宋_GB2312" w:cs="Times New Roman"/>
          <w:color w:val="000000"/>
          <w:kern w:val="0"/>
          <w:sz w:val="32"/>
          <w:szCs w:val="32"/>
          <w:lang w:val="en-US" w:eastAsia="zh-CN"/>
        </w:rPr>
        <w:t>坚持“分类推、项目制、促就业”思路，开展“海河工匠 技耀前程”大规模职业技能提升培训行动，面向未就业高校毕业生、登记失业青年等重点群体，聚焦先进制造、数字经济、低空经济等领域，推行“岗位需求＋技能培训＋技能评价＋就业服务”项目制培训模式，符合条件的给予培训费补贴。推广青年求职能力实训，面向未就业高校毕业生等青年开展简历诊断、模拟面试等互动教学，有针对性邀请企业参与实训末期的专场招聘，帮助提升就业能力、顺利实现就业。</w:t>
      </w:r>
    </w:p>
    <w:p w14:paraId="603E75A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楷体_GB2312" w:cs="楷体_GB2312"/>
          <w:sz w:val="32"/>
          <w:szCs w:val="32"/>
          <w:lang w:val="en-US" w:eastAsia="zh-CN"/>
        </w:rPr>
        <w:t>（七）困难包保重点帮扶一批。</w:t>
      </w:r>
      <w:r>
        <w:rPr>
          <w:rFonts w:hint="eastAsia" w:ascii="Times New Roman" w:hAnsi="Times New Roman" w:eastAsia="仿宋_GB2312" w:cs="Times New Roman"/>
          <w:color w:val="000000"/>
          <w:kern w:val="0"/>
          <w:sz w:val="32"/>
          <w:szCs w:val="32"/>
          <w:lang w:val="en-US" w:eastAsia="zh-CN"/>
        </w:rPr>
        <w:t>将低保家庭、零就业家庭、防止返贫致贫对象家庭以及残疾等困难高校毕业生作为重点帮扶对象，建立包保责任，组织结对帮扶，优先提供指导服务，优先推荐培训见习。根据帮扶对象个人情况、就业能力，提供匹配度高、稳定性强的就业岗位。对通过市场渠道难以实现就业的高校毕业生，按规定及时认定就业困难人员，指导街道（乡镇）、就业驿站、中小学校等，开发公共环境管护、公用设施运维、公共道路维护、人社就业服务、社区治安巡逻、文化科技体育服务等城乡公益性岗位予以妥善安置。</w:t>
      </w:r>
    </w:p>
    <w:p w14:paraId="05DDE1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五、工作要求</w:t>
      </w:r>
    </w:p>
    <w:p w14:paraId="0B3E42D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eastAsia="仿宋_GB2312" w:cs="Times New Roman"/>
          <w:color w:val="000000"/>
          <w:kern w:val="0"/>
          <w:sz w:val="32"/>
          <w:szCs w:val="32"/>
        </w:rPr>
        <w:t>各区人社部门要将</w:t>
      </w:r>
      <w:r>
        <w:rPr>
          <w:rFonts w:hint="eastAsia" w:ascii="Times New Roman" w:hAnsi="Times New Roman" w:eastAsia="仿宋_GB2312" w:cs="Times New Roman"/>
          <w:color w:val="000000"/>
          <w:kern w:val="0"/>
          <w:sz w:val="32"/>
          <w:szCs w:val="32"/>
        </w:rPr>
        <w:t>202</w:t>
      </w:r>
      <w:r>
        <w:rPr>
          <w:rFonts w:hint="eastAsia" w:eastAsia="仿宋_GB2312" w:cs="Times New Roman"/>
          <w:color w:val="000000"/>
          <w:kern w:val="0"/>
          <w:sz w:val="32"/>
          <w:szCs w:val="32"/>
          <w:lang w:eastAsia="zh-CN"/>
        </w:rPr>
        <w:t>6</w:t>
      </w:r>
      <w:r>
        <w:rPr>
          <w:rFonts w:hint="eastAsia" w:ascii="Times New Roman" w:eastAsia="仿宋_GB2312" w:cs="Times New Roman"/>
          <w:color w:val="000000"/>
          <w:kern w:val="0"/>
          <w:sz w:val="32"/>
          <w:szCs w:val="32"/>
        </w:rPr>
        <w:t>届高校毕业生等青年就业服务攻坚行动作为做好当前就业工作的重要抓手，</w:t>
      </w:r>
      <w:r>
        <w:rPr>
          <w:rFonts w:hint="eastAsia" w:ascii="Times New Roman" w:hAnsi="Times New Roman" w:eastAsia="仿宋_GB2312" w:cs="Times New Roman"/>
          <w:color w:val="000000"/>
          <w:kern w:val="0"/>
          <w:sz w:val="32"/>
          <w:szCs w:val="32"/>
          <w:lang w:val="en-US" w:eastAsia="zh-CN"/>
        </w:rPr>
        <w:t>落实属地责任，细化</w:t>
      </w:r>
      <w:r>
        <w:rPr>
          <w:rFonts w:hint="eastAsia" w:eastAsia="仿宋_GB2312" w:cs="Times New Roman"/>
          <w:color w:val="000000"/>
          <w:kern w:val="0"/>
          <w:sz w:val="32"/>
          <w:szCs w:val="32"/>
          <w:lang w:val="en-US" w:eastAsia="zh-CN"/>
        </w:rPr>
        <w:t>工作措施</w:t>
      </w:r>
      <w:r>
        <w:rPr>
          <w:rFonts w:hint="eastAsia" w:ascii="Times New Roman" w:hAnsi="Times New Roman" w:eastAsia="仿宋_GB2312" w:cs="Times New Roman"/>
          <w:color w:val="000000"/>
          <w:kern w:val="0"/>
          <w:sz w:val="32"/>
          <w:szCs w:val="32"/>
          <w:lang w:val="en-US" w:eastAsia="zh-CN"/>
        </w:rPr>
        <w:t>，明确时间进度、责任人</w:t>
      </w:r>
      <w:r>
        <w:rPr>
          <w:rFonts w:hint="eastAsia" w:eastAsia="仿宋_GB2312" w:cs="Times New Roman"/>
          <w:color w:val="000000"/>
          <w:kern w:val="0"/>
          <w:sz w:val="32"/>
          <w:szCs w:val="32"/>
          <w:lang w:val="en-US" w:eastAsia="zh-CN"/>
        </w:rPr>
        <w:t>。要普遍</w:t>
      </w:r>
      <w:r>
        <w:rPr>
          <w:rFonts w:hint="eastAsia" w:ascii="Times New Roman" w:hAnsi="Times New Roman" w:eastAsia="仿宋_GB2312" w:cs="Times New Roman"/>
          <w:color w:val="000000"/>
          <w:kern w:val="0"/>
          <w:sz w:val="32"/>
          <w:szCs w:val="32"/>
          <w:lang w:val="en-US" w:eastAsia="zh-CN"/>
        </w:rPr>
        <w:t>落实“1131”帮扶机制，加强动态监测，对就业状态发生变化的及时更新，对就业转失业的跟进提供就业服务。</w:t>
      </w:r>
      <w:r>
        <w:rPr>
          <w:rFonts w:hint="eastAsia" w:eastAsia="仿宋_GB2312" w:cs="Times New Roman"/>
          <w:color w:val="000000"/>
          <w:kern w:val="0"/>
          <w:sz w:val="32"/>
          <w:szCs w:val="32"/>
          <w:lang w:val="en-US" w:eastAsia="zh-CN"/>
        </w:rPr>
        <w:t>要</w:t>
      </w:r>
      <w:r>
        <w:rPr>
          <w:rFonts w:hint="eastAsia" w:ascii="Times New Roman" w:hAnsi="Times New Roman" w:eastAsia="仿宋_GB2312" w:cs="Times New Roman"/>
          <w:color w:val="000000"/>
          <w:kern w:val="0"/>
          <w:sz w:val="32"/>
          <w:szCs w:val="32"/>
          <w:lang w:val="en-US" w:eastAsia="zh-CN"/>
        </w:rPr>
        <w:t>强化困难毕业生帮扶，</w:t>
      </w:r>
      <w:r>
        <w:rPr>
          <w:rFonts w:hint="eastAsia" w:eastAsia="仿宋_GB2312" w:cs="Times New Roman"/>
          <w:color w:val="000000"/>
          <w:kern w:val="0"/>
          <w:sz w:val="32"/>
          <w:szCs w:val="32"/>
          <w:lang w:val="en-US" w:eastAsia="zh-CN"/>
        </w:rPr>
        <w:t>建立包保责任，做到</w:t>
      </w:r>
      <w:r>
        <w:rPr>
          <w:rFonts w:hint="eastAsia" w:ascii="Times New Roman" w:hAnsi="Times New Roman" w:eastAsia="仿宋_GB2312" w:cs="Times New Roman"/>
          <w:color w:val="000000"/>
          <w:kern w:val="0"/>
          <w:sz w:val="32"/>
          <w:szCs w:val="32"/>
          <w:lang w:val="en-US" w:eastAsia="zh-CN"/>
        </w:rPr>
        <w:t>一帮到底、不落一人。</w:t>
      </w:r>
      <w:r>
        <w:rPr>
          <w:rFonts w:hint="eastAsia" w:eastAsia="仿宋_GB2312" w:cs="Times New Roman"/>
          <w:color w:val="000000"/>
          <w:kern w:val="0"/>
          <w:sz w:val="32"/>
          <w:szCs w:val="32"/>
          <w:lang w:val="en-US" w:eastAsia="zh-CN"/>
        </w:rPr>
        <w:t>要</w:t>
      </w:r>
      <w:r>
        <w:rPr>
          <w:rFonts w:hint="eastAsia" w:ascii="Times New Roman" w:hAnsi="Times New Roman" w:eastAsia="仿宋_GB2312" w:cs="Times New Roman"/>
          <w:color w:val="000000"/>
          <w:kern w:val="0"/>
          <w:sz w:val="32"/>
          <w:szCs w:val="32"/>
          <w:lang w:val="en-US" w:eastAsia="zh-CN"/>
        </w:rPr>
        <w:t>加强公共就业服务机构、人力资源市场等人员密集场所安全管理，严格审核</w:t>
      </w:r>
      <w:r>
        <w:rPr>
          <w:rFonts w:hint="eastAsia" w:ascii="Times New Roman" w:eastAsia="仿宋_GB2312" w:cs="Times New Roman"/>
          <w:color w:val="000000"/>
          <w:kern w:val="0"/>
          <w:sz w:val="32"/>
          <w:szCs w:val="32"/>
        </w:rPr>
        <w:t>用人单位的资质和岗位信息</w:t>
      </w:r>
      <w:r>
        <w:rPr>
          <w:rFonts w:hint="eastAsia" w:ascii="Times New Roman" w:hAnsi="Times New Roman" w:eastAsia="仿宋_GB2312" w:cs="Times New Roman"/>
          <w:color w:val="000000"/>
          <w:kern w:val="0"/>
          <w:sz w:val="32"/>
          <w:szCs w:val="32"/>
          <w:lang w:val="en-US" w:eastAsia="zh-CN"/>
        </w:rPr>
        <w:t>，确保各项活动安全有序</w:t>
      </w:r>
      <w:r>
        <w:rPr>
          <w:rFonts w:hint="eastAsia" w:eastAsia="仿宋_GB2312" w:cs="Times New Roman"/>
          <w:color w:val="000000"/>
          <w:kern w:val="0"/>
          <w:sz w:val="32"/>
          <w:szCs w:val="32"/>
          <w:lang w:val="en-US" w:eastAsia="zh-CN"/>
        </w:rPr>
        <w:t>、招聘信息真实有效</w:t>
      </w:r>
      <w:r>
        <w:rPr>
          <w:rFonts w:hint="eastAsia" w:ascii="Times New Roman" w:hAnsi="Times New Roman" w:eastAsia="仿宋_GB2312" w:cs="Times New Roman"/>
          <w:color w:val="000000"/>
          <w:kern w:val="0"/>
          <w:sz w:val="32"/>
          <w:szCs w:val="32"/>
          <w:lang w:val="en-US" w:eastAsia="zh-CN"/>
        </w:rPr>
        <w:t>。要完善就业去向核查机制，通过数据比对、电话回访、入户走访等方式，对就业状态和服务提供情况进行</w:t>
      </w:r>
      <w:r>
        <w:rPr>
          <w:rFonts w:hint="eastAsia" w:eastAsia="仿宋_GB2312" w:cs="Times New Roman"/>
          <w:color w:val="000000"/>
          <w:kern w:val="0"/>
          <w:sz w:val="32"/>
          <w:szCs w:val="32"/>
          <w:lang w:val="en-US" w:eastAsia="zh-CN"/>
        </w:rPr>
        <w:t>检查</w:t>
      </w:r>
      <w:r>
        <w:rPr>
          <w:rFonts w:hint="eastAsia" w:ascii="Times New Roman" w:hAnsi="Times New Roman" w:eastAsia="仿宋_GB2312" w:cs="Times New Roman"/>
          <w:color w:val="000000"/>
          <w:kern w:val="0"/>
          <w:sz w:val="32"/>
          <w:szCs w:val="32"/>
          <w:lang w:val="en-US" w:eastAsia="zh-CN"/>
        </w:rPr>
        <w:t>核查</w:t>
      </w:r>
      <w:r>
        <w:rPr>
          <w:rFonts w:hint="eastAsia" w:eastAsia="仿宋_GB2312" w:cs="Times New Roman"/>
          <w:color w:val="000000"/>
          <w:kern w:val="0"/>
          <w:sz w:val="32"/>
          <w:szCs w:val="32"/>
          <w:lang w:val="en-US" w:eastAsia="zh-CN"/>
        </w:rPr>
        <w:t>，</w:t>
      </w:r>
      <w:r>
        <w:rPr>
          <w:rFonts w:hint="eastAsia" w:ascii="Times New Roman" w:hAnsi="Times New Roman" w:eastAsia="仿宋_GB2312" w:cs="Times New Roman"/>
          <w:color w:val="000000"/>
          <w:kern w:val="0"/>
          <w:sz w:val="32"/>
          <w:szCs w:val="32"/>
          <w:lang w:val="en-US" w:eastAsia="zh-CN"/>
        </w:rPr>
        <w:t>确保服务措施落实、就业数据真实。</w:t>
      </w:r>
      <w:r>
        <w:rPr>
          <w:rFonts w:hint="eastAsia" w:eastAsia="仿宋_GB2312" w:cs="Times New Roman"/>
          <w:color w:val="000000"/>
          <w:kern w:val="0"/>
          <w:sz w:val="32"/>
          <w:szCs w:val="32"/>
          <w:lang w:val="en-US" w:eastAsia="zh-CN"/>
        </w:rPr>
        <w:t>要做实做细就业指导服务，加强就业政策、经验做法、就业典型总结宣传，及时报送服务攻坚行动工作情况</w:t>
      </w:r>
      <w:r>
        <w:rPr>
          <w:rFonts w:hint="eastAsia" w:ascii="Times New Roman" w:hAnsi="Times New Roman" w:eastAsia="仿宋_GB2312" w:cs="仿宋_GB2312"/>
          <w:sz w:val="32"/>
          <w:szCs w:val="32"/>
          <w:lang w:val="en-US" w:eastAsia="zh-CN"/>
        </w:rPr>
        <w:t>。</w:t>
      </w:r>
    </w:p>
    <w:p w14:paraId="07C2D52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sz w:val="32"/>
          <w:szCs w:val="32"/>
          <w:lang w:val="en-US" w:eastAsia="zh-CN"/>
        </w:rPr>
      </w:pPr>
    </w:p>
    <w:p w14:paraId="66F6E79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sz w:val="32"/>
          <w:szCs w:val="32"/>
        </w:rPr>
        <w:sectPr>
          <w:footerReference r:id="rId5" w:type="default"/>
          <w:pgSz w:w="11906" w:h="16838"/>
          <w:pgMar w:top="1361" w:right="1587" w:bottom="1247" w:left="1587" w:header="851" w:footer="652" w:gutter="0"/>
          <w:pgNumType w:fmt="decimal" w:start="2"/>
          <w:cols w:space="0" w:num="1"/>
          <w:rtlGutter w:val="0"/>
          <w:docGrid w:type="lines" w:linePitch="312" w:charSpace="0"/>
        </w:sectPr>
      </w:pPr>
      <w:r>
        <w:rPr>
          <w:rFonts w:hint="eastAsia" w:ascii="Times New Roman" w:hAnsi="Times New Roman" w:eastAsia="仿宋_GB2312" w:cs="仿宋_GB2312"/>
          <w:color w:val="auto"/>
          <w:sz w:val="32"/>
          <w:szCs w:val="32"/>
        </w:rPr>
        <w:t>附件</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离校未就业高校毕业生信息衔接工作进展汇总表</w:t>
      </w:r>
    </w:p>
    <w:bookmarkEnd w:id="0"/>
    <w:p w14:paraId="49E42EE2">
      <w:pPr>
        <w:textAlignment w:val="baseline"/>
        <w:rPr>
          <w:rStyle w:val="20"/>
          <w:rFonts w:hint="default" w:ascii="Times New Roman" w:hAnsi="Times New Roman" w:eastAsia="黑体"/>
          <w:sz w:val="32"/>
          <w:szCs w:val="32"/>
          <w:lang w:val="en-US"/>
        </w:rPr>
      </w:pPr>
      <w:r>
        <w:rPr>
          <w:rStyle w:val="20"/>
          <w:rFonts w:ascii="Times New Roman" w:hAnsi="Times New Roman" w:eastAsia="黑体"/>
          <w:sz w:val="32"/>
          <w:szCs w:val="32"/>
        </w:rPr>
        <w:t>附件</w:t>
      </w:r>
    </w:p>
    <w:p w14:paraId="7396D341">
      <w:pPr>
        <w:spacing w:line="560" w:lineRule="exact"/>
        <w:jc w:val="center"/>
        <w:textAlignment w:val="baseline"/>
        <w:rPr>
          <w:rStyle w:val="20"/>
          <w:rFonts w:ascii="Times New Roman" w:hAnsi="Times New Roman" w:eastAsia="方正小标宋简体" w:cs="方正小标宋简体"/>
          <w:sz w:val="44"/>
          <w:szCs w:val="44"/>
        </w:rPr>
      </w:pPr>
      <w:r>
        <w:rPr>
          <w:rStyle w:val="20"/>
          <w:rFonts w:hint="eastAsia" w:ascii="Times New Roman" w:hAnsi="Times New Roman" w:eastAsia="方正小标宋简体" w:cs="方正小标宋简体"/>
          <w:sz w:val="44"/>
          <w:szCs w:val="44"/>
        </w:rPr>
        <w:t>离校未就业高校毕业生信息衔接工作进展汇总表</w:t>
      </w:r>
    </w:p>
    <w:tbl>
      <w:tblPr>
        <w:tblStyle w:val="8"/>
        <w:tblpPr w:leftFromText="180" w:rightFromText="180" w:vertAnchor="text" w:horzAnchor="page" w:tblpXSpec="center" w:tblpY="744"/>
        <w:tblOverlap w:val="never"/>
        <w:tblW w:w="13986" w:type="dxa"/>
        <w:jc w:val="center"/>
        <w:tblBorders>
          <w:top w:val="single" w:color="2C2C2C" w:sz="4" w:space="0"/>
          <w:left w:val="single" w:color="2C2C2C" w:sz="4" w:space="0"/>
          <w:bottom w:val="single" w:color="2C2C2C" w:sz="4" w:space="0"/>
          <w:right w:val="single" w:color="2C2C2C" w:sz="4" w:space="0"/>
          <w:insideH w:val="single" w:color="2C2C2C" w:sz="4" w:space="0"/>
          <w:insideV w:val="single" w:color="2C2C2C" w:sz="4" w:space="0"/>
        </w:tblBorders>
        <w:tblLayout w:type="fixed"/>
        <w:tblCellMar>
          <w:top w:w="0" w:type="dxa"/>
          <w:left w:w="0" w:type="dxa"/>
          <w:bottom w:w="0" w:type="dxa"/>
          <w:right w:w="0" w:type="dxa"/>
        </w:tblCellMar>
      </w:tblPr>
      <w:tblGrid>
        <w:gridCol w:w="922"/>
        <w:gridCol w:w="820"/>
        <w:gridCol w:w="849"/>
        <w:gridCol w:w="1148"/>
        <w:gridCol w:w="1514"/>
        <w:gridCol w:w="1396"/>
        <w:gridCol w:w="1304"/>
        <w:gridCol w:w="1307"/>
        <w:gridCol w:w="1081"/>
        <w:gridCol w:w="1320"/>
        <w:gridCol w:w="1170"/>
        <w:gridCol w:w="1155"/>
      </w:tblGrid>
      <w:tr w14:paraId="2499C1E9">
        <w:tblPrEx>
          <w:tblBorders>
            <w:top w:val="single" w:color="2C2C2C" w:sz="4" w:space="0"/>
            <w:left w:val="single" w:color="2C2C2C" w:sz="4" w:space="0"/>
            <w:bottom w:val="single" w:color="2C2C2C" w:sz="4" w:space="0"/>
            <w:right w:val="single" w:color="2C2C2C" w:sz="4" w:space="0"/>
            <w:insideH w:val="single" w:color="2C2C2C" w:sz="4" w:space="0"/>
            <w:insideV w:val="single" w:color="2C2C2C" w:sz="4" w:space="0"/>
          </w:tblBorders>
          <w:tblCellMar>
            <w:top w:w="0" w:type="dxa"/>
            <w:left w:w="0" w:type="dxa"/>
            <w:bottom w:w="0" w:type="dxa"/>
            <w:right w:w="0" w:type="dxa"/>
          </w:tblCellMar>
        </w:tblPrEx>
        <w:trPr>
          <w:trHeight w:val="441" w:hRule="atLeast"/>
          <w:jc w:val="center"/>
        </w:trPr>
        <w:tc>
          <w:tcPr>
            <w:tcW w:w="922" w:type="dxa"/>
            <w:vMerge w:val="restart"/>
            <w:tcBorders>
              <w:top w:val="single" w:color="2C2C2C" w:sz="4" w:space="0"/>
              <w:left w:val="single" w:color="2C2C2C" w:sz="4" w:space="0"/>
              <w:bottom w:val="single" w:color="2C2C2C" w:sz="4" w:space="0"/>
              <w:right w:val="single" w:color="2C2C2C" w:sz="4" w:space="0"/>
            </w:tcBorders>
            <w:noWrap w:val="0"/>
            <w:vAlign w:val="center"/>
          </w:tcPr>
          <w:p w14:paraId="5ABE132C">
            <w:pPr>
              <w:spacing w:line="400" w:lineRule="exact"/>
              <w:jc w:val="center"/>
              <w:textAlignment w:val="baseline"/>
              <w:rPr>
                <w:rStyle w:val="20"/>
                <w:rFonts w:ascii="Times New Roman" w:hAnsi="Times New Roman" w:eastAsia="黑体"/>
                <w:sz w:val="28"/>
                <w:szCs w:val="28"/>
              </w:rPr>
            </w:pPr>
            <w:r>
              <w:rPr>
                <w:rStyle w:val="20"/>
                <w:rFonts w:ascii="Times New Roman" w:hAnsi="Times New Roman" w:eastAsia="黑体"/>
                <w:sz w:val="28"/>
                <w:szCs w:val="28"/>
              </w:rPr>
              <w:t>工作</w:t>
            </w:r>
          </w:p>
          <w:p w14:paraId="2D1EB5E0">
            <w:pPr>
              <w:spacing w:line="400" w:lineRule="exact"/>
              <w:jc w:val="center"/>
              <w:textAlignment w:val="baseline"/>
              <w:rPr>
                <w:rStyle w:val="20"/>
                <w:rFonts w:ascii="Times New Roman" w:hAnsi="Times New Roman" w:eastAsia="黑体"/>
                <w:sz w:val="28"/>
                <w:szCs w:val="28"/>
              </w:rPr>
            </w:pPr>
            <w:r>
              <w:rPr>
                <w:rStyle w:val="20"/>
                <w:rFonts w:ascii="Times New Roman" w:hAnsi="Times New Roman" w:eastAsia="黑体"/>
                <w:sz w:val="28"/>
                <w:szCs w:val="28"/>
              </w:rPr>
              <w:t>任务</w:t>
            </w:r>
          </w:p>
        </w:tc>
        <w:tc>
          <w:tcPr>
            <w:tcW w:w="1669" w:type="dxa"/>
            <w:gridSpan w:val="2"/>
            <w:tcBorders>
              <w:top w:val="single" w:color="2C2C2C" w:sz="4" w:space="0"/>
              <w:left w:val="single" w:color="2C2C2C" w:sz="4" w:space="0"/>
              <w:bottom w:val="single" w:color="2C2C2C" w:sz="4" w:space="0"/>
              <w:right w:val="single" w:color="000000" w:sz="4" w:space="0"/>
            </w:tcBorders>
            <w:noWrap w:val="0"/>
            <w:vAlign w:val="center"/>
          </w:tcPr>
          <w:p w14:paraId="04048278">
            <w:pPr>
              <w:spacing w:line="400" w:lineRule="exact"/>
              <w:jc w:val="center"/>
              <w:textAlignment w:val="baseline"/>
              <w:rPr>
                <w:rStyle w:val="20"/>
                <w:rFonts w:ascii="Times New Roman" w:hAnsi="Times New Roman" w:eastAsia="黑体"/>
                <w:sz w:val="28"/>
                <w:szCs w:val="28"/>
              </w:rPr>
            </w:pPr>
            <w:r>
              <w:rPr>
                <w:rStyle w:val="20"/>
                <w:rFonts w:ascii="Times New Roman" w:hAnsi="Times New Roman" w:eastAsia="黑体"/>
                <w:sz w:val="28"/>
                <w:szCs w:val="28"/>
              </w:rPr>
              <w:t>信息衔接</w:t>
            </w:r>
          </w:p>
        </w:tc>
        <w:tc>
          <w:tcPr>
            <w:tcW w:w="6669" w:type="dxa"/>
            <w:gridSpan w:val="5"/>
            <w:tcBorders>
              <w:top w:val="single" w:color="2C2C2C" w:sz="4" w:space="0"/>
              <w:left w:val="single" w:color="000000" w:sz="4" w:space="0"/>
              <w:bottom w:val="single" w:color="2C2C2C" w:sz="4" w:space="0"/>
              <w:right w:val="single" w:color="2C2C2C" w:sz="4" w:space="0"/>
            </w:tcBorders>
            <w:noWrap w:val="0"/>
            <w:vAlign w:val="center"/>
          </w:tcPr>
          <w:p w14:paraId="060F6600">
            <w:pPr>
              <w:spacing w:line="400" w:lineRule="exact"/>
              <w:jc w:val="center"/>
              <w:textAlignment w:val="baseline"/>
              <w:rPr>
                <w:rStyle w:val="20"/>
                <w:rFonts w:ascii="Times New Roman" w:hAnsi="Times New Roman" w:eastAsia="黑体"/>
                <w:sz w:val="28"/>
                <w:szCs w:val="28"/>
              </w:rPr>
            </w:pPr>
            <w:r>
              <w:rPr>
                <w:rStyle w:val="20"/>
                <w:rFonts w:ascii="Times New Roman" w:hAnsi="Times New Roman" w:eastAsia="黑体"/>
                <w:sz w:val="28"/>
                <w:szCs w:val="28"/>
              </w:rPr>
              <w:t>服务公开</w:t>
            </w:r>
          </w:p>
        </w:tc>
        <w:tc>
          <w:tcPr>
            <w:tcW w:w="4726" w:type="dxa"/>
            <w:gridSpan w:val="4"/>
            <w:tcBorders>
              <w:top w:val="single" w:color="2C2C2C" w:sz="4" w:space="0"/>
              <w:left w:val="single" w:color="2C2C2C" w:sz="4" w:space="0"/>
              <w:bottom w:val="single" w:color="2C2C2C" w:sz="4" w:space="0"/>
              <w:right w:val="single" w:color="2C2C2C" w:sz="4" w:space="0"/>
            </w:tcBorders>
            <w:noWrap w:val="0"/>
            <w:vAlign w:val="center"/>
          </w:tcPr>
          <w:p w14:paraId="22DF79AD">
            <w:pPr>
              <w:spacing w:line="400" w:lineRule="exact"/>
              <w:jc w:val="center"/>
              <w:textAlignment w:val="baseline"/>
              <w:rPr>
                <w:rStyle w:val="20"/>
                <w:rFonts w:ascii="Times New Roman" w:hAnsi="Times New Roman" w:eastAsia="黑体"/>
                <w:sz w:val="28"/>
                <w:szCs w:val="28"/>
              </w:rPr>
            </w:pPr>
            <w:r>
              <w:rPr>
                <w:rStyle w:val="20"/>
                <w:rFonts w:ascii="Times New Roman" w:hAnsi="Times New Roman" w:eastAsia="黑体"/>
                <w:sz w:val="28"/>
                <w:szCs w:val="28"/>
              </w:rPr>
              <w:t>实名台账情况</w:t>
            </w:r>
          </w:p>
        </w:tc>
      </w:tr>
      <w:tr w14:paraId="6E2AFC94">
        <w:tblPrEx>
          <w:tblBorders>
            <w:top w:val="single" w:color="2C2C2C" w:sz="4" w:space="0"/>
            <w:left w:val="single" w:color="2C2C2C" w:sz="4" w:space="0"/>
            <w:bottom w:val="single" w:color="2C2C2C" w:sz="4" w:space="0"/>
            <w:right w:val="single" w:color="2C2C2C" w:sz="4" w:space="0"/>
            <w:insideH w:val="single" w:color="2C2C2C" w:sz="4" w:space="0"/>
            <w:insideV w:val="single" w:color="2C2C2C" w:sz="4" w:space="0"/>
          </w:tblBorders>
          <w:tblCellMar>
            <w:top w:w="0" w:type="dxa"/>
            <w:left w:w="0" w:type="dxa"/>
            <w:bottom w:w="0" w:type="dxa"/>
            <w:right w:w="0" w:type="dxa"/>
          </w:tblCellMar>
        </w:tblPrEx>
        <w:trPr>
          <w:trHeight w:val="3287" w:hRule="atLeast"/>
          <w:jc w:val="center"/>
        </w:trPr>
        <w:tc>
          <w:tcPr>
            <w:tcW w:w="922" w:type="dxa"/>
            <w:vMerge w:val="continue"/>
            <w:tcBorders>
              <w:top w:val="single" w:color="2C2C2C" w:sz="4" w:space="0"/>
              <w:left w:val="single" w:color="2C2C2C" w:sz="4" w:space="0"/>
              <w:bottom w:val="single" w:color="2C2C2C" w:sz="4" w:space="0"/>
              <w:right w:val="single" w:color="2C2C2C" w:sz="4" w:space="0"/>
            </w:tcBorders>
            <w:noWrap w:val="0"/>
            <w:vAlign w:val="center"/>
          </w:tcPr>
          <w:p w14:paraId="17BFCA1D">
            <w:pPr>
              <w:spacing w:line="360" w:lineRule="exact"/>
              <w:jc w:val="center"/>
              <w:textAlignment w:val="baseline"/>
              <w:rPr>
                <w:rStyle w:val="20"/>
                <w:rFonts w:ascii="Times New Roman" w:hAnsi="Times New Roman" w:eastAsia="黑体"/>
                <w:sz w:val="28"/>
                <w:szCs w:val="28"/>
              </w:rPr>
            </w:pPr>
          </w:p>
        </w:tc>
        <w:tc>
          <w:tcPr>
            <w:tcW w:w="820" w:type="dxa"/>
            <w:tcBorders>
              <w:top w:val="single" w:color="2C2C2C" w:sz="4" w:space="0"/>
              <w:left w:val="single" w:color="2C2C2C" w:sz="4" w:space="0"/>
              <w:bottom w:val="single" w:color="2C2C2C" w:sz="4" w:space="0"/>
              <w:right w:val="single" w:color="2C2C2C" w:sz="4" w:space="0"/>
            </w:tcBorders>
            <w:noWrap w:val="0"/>
            <w:vAlign w:val="center"/>
          </w:tcPr>
          <w:p w14:paraId="6124C515">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w:t>
            </w:r>
          </w:p>
          <w:p w14:paraId="62A4573E">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启动</w:t>
            </w:r>
          </w:p>
        </w:tc>
        <w:tc>
          <w:tcPr>
            <w:tcW w:w="849" w:type="dxa"/>
            <w:tcBorders>
              <w:top w:val="single" w:color="2C2C2C" w:sz="4" w:space="0"/>
              <w:left w:val="single" w:color="2C2C2C" w:sz="4" w:space="0"/>
              <w:bottom w:val="single" w:color="2C2C2C" w:sz="4" w:space="0"/>
              <w:right w:val="single" w:color="2C2C2C" w:sz="4" w:space="0"/>
            </w:tcBorders>
            <w:noWrap w:val="0"/>
            <w:vAlign w:val="center"/>
          </w:tcPr>
          <w:p w14:paraId="69FAE777">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w:t>
            </w:r>
          </w:p>
          <w:p w14:paraId="2F7E2F0D">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完成</w:t>
            </w:r>
          </w:p>
        </w:tc>
        <w:tc>
          <w:tcPr>
            <w:tcW w:w="1148" w:type="dxa"/>
            <w:tcBorders>
              <w:top w:val="single" w:color="2C2C2C" w:sz="4" w:space="0"/>
              <w:left w:val="single" w:color="2C2C2C" w:sz="4" w:space="0"/>
              <w:bottom w:val="single" w:color="2C2C2C" w:sz="4" w:space="0"/>
              <w:right w:val="single" w:color="2C2C2C" w:sz="4" w:space="0"/>
            </w:tcBorders>
            <w:noWrap w:val="0"/>
            <w:vAlign w:val="center"/>
          </w:tcPr>
          <w:p w14:paraId="042CAA50">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是否发出公开信或服务公告</w:t>
            </w:r>
          </w:p>
        </w:tc>
        <w:tc>
          <w:tcPr>
            <w:tcW w:w="1514" w:type="dxa"/>
            <w:tcBorders>
              <w:top w:val="single" w:color="2C2C2C" w:sz="4" w:space="0"/>
              <w:left w:val="single" w:color="2C2C2C" w:sz="4" w:space="0"/>
              <w:bottom w:val="single" w:color="2C2C2C" w:sz="4" w:space="0"/>
              <w:right w:val="single" w:color="2C2C2C" w:sz="4" w:space="0"/>
            </w:tcBorders>
            <w:noWrap w:val="0"/>
            <w:vAlign w:val="center"/>
          </w:tcPr>
          <w:p w14:paraId="44BE480F">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是否公开未就业毕业生求职登记小程序、失业登记全国统一服务平台等求助途径</w:t>
            </w:r>
          </w:p>
        </w:tc>
        <w:tc>
          <w:tcPr>
            <w:tcW w:w="1396" w:type="dxa"/>
            <w:tcBorders>
              <w:top w:val="single" w:color="2C2C2C" w:sz="4" w:space="0"/>
              <w:left w:val="single" w:color="2C2C2C" w:sz="4" w:space="0"/>
              <w:bottom w:val="single" w:color="2C2C2C" w:sz="4" w:space="0"/>
              <w:right w:val="single" w:color="2C2C2C" w:sz="4" w:space="0"/>
            </w:tcBorders>
            <w:noWrap w:val="0"/>
            <w:vAlign w:val="center"/>
          </w:tcPr>
          <w:p w14:paraId="6DCC4BC8">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是否公开公共招聘网站、</w:t>
            </w:r>
            <w:r>
              <w:rPr>
                <w:rStyle w:val="20"/>
                <w:rFonts w:hint="eastAsia" w:ascii="Times New Roman" w:hAnsi="Times New Roman" w:eastAsia="黑体"/>
                <w:sz w:val="24"/>
              </w:rPr>
              <w:t>优质</w:t>
            </w:r>
            <w:r>
              <w:rPr>
                <w:rStyle w:val="20"/>
                <w:rFonts w:ascii="Times New Roman" w:hAnsi="Times New Roman" w:eastAsia="黑体"/>
                <w:sz w:val="24"/>
              </w:rPr>
              <w:t>人力资源服务机构等招聘渠道</w:t>
            </w:r>
          </w:p>
        </w:tc>
        <w:tc>
          <w:tcPr>
            <w:tcW w:w="1304" w:type="dxa"/>
            <w:tcBorders>
              <w:top w:val="single" w:color="2C2C2C" w:sz="4" w:space="0"/>
              <w:left w:val="single" w:color="2C2C2C" w:sz="4" w:space="0"/>
              <w:bottom w:val="single" w:color="2C2C2C" w:sz="4" w:space="0"/>
              <w:right w:val="single" w:color="000000" w:sz="4" w:space="0"/>
            </w:tcBorders>
            <w:noWrap w:val="0"/>
            <w:vAlign w:val="center"/>
          </w:tcPr>
          <w:p w14:paraId="14F9B0AC">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是否公开公共就业人才服务、档案管理服务机构等名录</w:t>
            </w:r>
          </w:p>
        </w:tc>
        <w:tc>
          <w:tcPr>
            <w:tcW w:w="1307" w:type="dxa"/>
            <w:tcBorders>
              <w:top w:val="single" w:color="2C2C2C" w:sz="4" w:space="0"/>
              <w:left w:val="single" w:color="000000" w:sz="4" w:space="0"/>
              <w:bottom w:val="single" w:color="2C2C2C" w:sz="4" w:space="0"/>
              <w:right w:val="single" w:color="2C2C2C" w:sz="4" w:space="0"/>
            </w:tcBorders>
            <w:noWrap w:val="0"/>
            <w:vAlign w:val="center"/>
          </w:tcPr>
          <w:p w14:paraId="595D6782">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是否发布就业创业、人才引进、档案</w:t>
            </w:r>
            <w:r>
              <w:rPr>
                <w:rStyle w:val="20"/>
                <w:rFonts w:hint="eastAsia" w:ascii="Times New Roman" w:hAnsi="Times New Roman" w:eastAsia="黑体"/>
                <w:sz w:val="24"/>
              </w:rPr>
              <w:t>转递</w:t>
            </w:r>
            <w:r>
              <w:rPr>
                <w:rStyle w:val="20"/>
                <w:rFonts w:ascii="Times New Roman" w:hAnsi="Times New Roman" w:eastAsia="黑体"/>
                <w:sz w:val="24"/>
              </w:rPr>
              <w:t>等</w:t>
            </w:r>
            <w:r>
              <w:rPr>
                <w:rStyle w:val="20"/>
                <w:rFonts w:hint="eastAsia" w:ascii="Times New Roman" w:hAnsi="Times New Roman" w:eastAsia="黑体"/>
                <w:sz w:val="24"/>
              </w:rPr>
              <w:t>政策</w:t>
            </w:r>
            <w:r>
              <w:rPr>
                <w:rStyle w:val="20"/>
                <w:rFonts w:ascii="Times New Roman" w:hAnsi="Times New Roman" w:eastAsia="黑体"/>
                <w:sz w:val="24"/>
              </w:rPr>
              <w:t>服务清单</w:t>
            </w:r>
          </w:p>
        </w:tc>
        <w:tc>
          <w:tcPr>
            <w:tcW w:w="1081" w:type="dxa"/>
            <w:tcBorders>
              <w:top w:val="single" w:color="2C2C2C" w:sz="4" w:space="0"/>
              <w:left w:val="single" w:color="2C2C2C" w:sz="4" w:space="0"/>
              <w:bottom w:val="single" w:color="2C2C2C" w:sz="4" w:space="0"/>
              <w:right w:val="single" w:color="2C2C2C" w:sz="4" w:space="0"/>
            </w:tcBorders>
            <w:noWrap w:val="0"/>
            <w:vAlign w:val="center"/>
          </w:tcPr>
          <w:p w14:paraId="0FA6265F">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w:t>
            </w:r>
          </w:p>
          <w:p w14:paraId="1C01A14F">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建立</w:t>
            </w:r>
            <w:r>
              <w:rPr>
                <w:rStyle w:val="20"/>
                <w:rFonts w:hint="eastAsia" w:ascii="Times New Roman" w:hAnsi="Times New Roman" w:eastAsia="黑体"/>
                <w:sz w:val="24"/>
              </w:rPr>
              <w:t>登记失业青年</w:t>
            </w:r>
            <w:r>
              <w:rPr>
                <w:rStyle w:val="20"/>
                <w:rFonts w:ascii="Times New Roman" w:hAnsi="Times New Roman" w:eastAsia="黑体"/>
                <w:sz w:val="24"/>
              </w:rPr>
              <w:t>实名台账</w:t>
            </w:r>
          </w:p>
        </w:tc>
        <w:tc>
          <w:tcPr>
            <w:tcW w:w="1320" w:type="dxa"/>
            <w:tcBorders>
              <w:top w:val="single" w:color="2C2C2C" w:sz="4" w:space="0"/>
              <w:left w:val="single" w:color="2C2C2C" w:sz="4" w:space="0"/>
              <w:bottom w:val="single" w:color="2C2C2C" w:sz="4" w:space="0"/>
              <w:right w:val="single" w:color="000000" w:sz="4" w:space="0"/>
            </w:tcBorders>
            <w:noWrap w:val="0"/>
            <w:vAlign w:val="center"/>
          </w:tcPr>
          <w:p w14:paraId="584FB723">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实名登记</w:t>
            </w:r>
            <w:r>
              <w:rPr>
                <w:rStyle w:val="20"/>
                <w:rFonts w:hint="eastAsia" w:ascii="Times New Roman" w:hAnsi="Times New Roman" w:eastAsia="黑体"/>
                <w:sz w:val="24"/>
              </w:rPr>
              <w:t>失业青年</w:t>
            </w:r>
            <w:r>
              <w:rPr>
                <w:rStyle w:val="20"/>
                <w:rFonts w:ascii="Times New Roman" w:hAnsi="Times New Roman" w:eastAsia="黑体"/>
                <w:sz w:val="24"/>
              </w:rPr>
              <w:t>人数</w:t>
            </w:r>
          </w:p>
        </w:tc>
        <w:tc>
          <w:tcPr>
            <w:tcW w:w="1170" w:type="dxa"/>
            <w:tcBorders>
              <w:top w:val="single" w:color="2C2C2C" w:sz="4" w:space="0"/>
              <w:left w:val="single" w:color="2C2C2C" w:sz="4" w:space="0"/>
              <w:bottom w:val="single" w:color="2C2C2C" w:sz="4" w:space="0"/>
              <w:right w:val="single" w:color="000000" w:sz="4" w:space="0"/>
            </w:tcBorders>
            <w:noWrap w:val="0"/>
            <w:vAlign w:val="center"/>
          </w:tcPr>
          <w:p w14:paraId="35CB501D">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是否</w:t>
            </w:r>
          </w:p>
          <w:p w14:paraId="679D908F">
            <w:pPr>
              <w:spacing w:line="360" w:lineRule="exact"/>
              <w:jc w:val="center"/>
              <w:textAlignment w:val="baseline"/>
              <w:rPr>
                <w:rStyle w:val="20"/>
                <w:rFonts w:ascii="Times New Roman" w:hAnsi="Times New Roman" w:eastAsia="黑体"/>
                <w:sz w:val="24"/>
              </w:rPr>
            </w:pPr>
            <w:r>
              <w:rPr>
                <w:rStyle w:val="20"/>
                <w:rFonts w:hint="eastAsia" w:ascii="Times New Roman" w:hAnsi="Times New Roman" w:eastAsia="黑体"/>
                <w:sz w:val="24"/>
              </w:rPr>
              <w:t>建</w:t>
            </w:r>
            <w:r>
              <w:rPr>
                <w:rStyle w:val="20"/>
                <w:rFonts w:ascii="Times New Roman" w:hAnsi="Times New Roman" w:eastAsia="黑体"/>
                <w:sz w:val="24"/>
              </w:rPr>
              <w:t>立</w:t>
            </w:r>
            <w:r>
              <w:rPr>
                <w:rStyle w:val="20"/>
                <w:rFonts w:hint="eastAsia" w:ascii="Times New Roman" w:hAnsi="Times New Roman" w:eastAsia="黑体"/>
                <w:sz w:val="24"/>
              </w:rPr>
              <w:t>202</w:t>
            </w:r>
            <w:r>
              <w:rPr>
                <w:rStyle w:val="20"/>
                <w:rFonts w:hint="eastAsia" w:ascii="Times New Roman" w:hAnsi="Times New Roman" w:eastAsia="黑体"/>
                <w:sz w:val="24"/>
                <w:lang w:val="en-US"/>
              </w:rPr>
              <w:t>6</w:t>
            </w:r>
            <w:r>
              <w:rPr>
                <w:rStyle w:val="20"/>
                <w:rFonts w:hint="eastAsia" w:ascii="Times New Roman" w:hAnsi="Times New Roman" w:eastAsia="黑体"/>
                <w:sz w:val="24"/>
              </w:rPr>
              <w:t>届未就业毕业生实名台账</w:t>
            </w:r>
          </w:p>
        </w:tc>
        <w:tc>
          <w:tcPr>
            <w:tcW w:w="1155" w:type="dxa"/>
            <w:tcBorders>
              <w:top w:val="single" w:color="2C2C2C" w:sz="4" w:space="0"/>
              <w:left w:val="single" w:color="000000" w:sz="4" w:space="0"/>
              <w:bottom w:val="single" w:color="2C2C2C" w:sz="4" w:space="0"/>
              <w:right w:val="single" w:color="2C2C2C" w:sz="4" w:space="0"/>
            </w:tcBorders>
            <w:noWrap w:val="0"/>
            <w:vAlign w:val="center"/>
          </w:tcPr>
          <w:p w14:paraId="1AA3347A">
            <w:pPr>
              <w:spacing w:line="360" w:lineRule="exact"/>
              <w:jc w:val="center"/>
              <w:textAlignment w:val="baseline"/>
              <w:rPr>
                <w:rStyle w:val="20"/>
                <w:rFonts w:ascii="Times New Roman" w:hAnsi="Times New Roman" w:eastAsia="黑体"/>
                <w:sz w:val="24"/>
              </w:rPr>
            </w:pPr>
            <w:r>
              <w:rPr>
                <w:rStyle w:val="20"/>
                <w:rFonts w:ascii="Times New Roman" w:hAnsi="Times New Roman" w:eastAsia="黑体"/>
                <w:sz w:val="24"/>
              </w:rPr>
              <w:t>实名登记</w:t>
            </w:r>
            <w:r>
              <w:rPr>
                <w:rStyle w:val="20"/>
                <w:rFonts w:hint="eastAsia" w:ascii="Times New Roman" w:hAnsi="Times New Roman" w:eastAsia="黑体"/>
                <w:sz w:val="24"/>
              </w:rPr>
              <w:t>202</w:t>
            </w:r>
            <w:r>
              <w:rPr>
                <w:rStyle w:val="20"/>
                <w:rFonts w:hint="eastAsia" w:ascii="Times New Roman" w:hAnsi="Times New Roman" w:eastAsia="黑体"/>
                <w:sz w:val="24"/>
                <w:lang w:val="en-US"/>
              </w:rPr>
              <w:t>6</w:t>
            </w:r>
            <w:r>
              <w:rPr>
                <w:rStyle w:val="20"/>
                <w:rFonts w:hint="eastAsia" w:ascii="Times New Roman" w:hAnsi="Times New Roman" w:eastAsia="黑体"/>
                <w:sz w:val="24"/>
              </w:rPr>
              <w:t>届未就业</w:t>
            </w:r>
            <w:r>
              <w:rPr>
                <w:rStyle w:val="20"/>
                <w:rFonts w:ascii="Times New Roman" w:hAnsi="Times New Roman" w:eastAsia="黑体"/>
                <w:sz w:val="24"/>
              </w:rPr>
              <w:t>毕业生人数</w:t>
            </w:r>
          </w:p>
        </w:tc>
      </w:tr>
      <w:tr w14:paraId="224C60A2">
        <w:tblPrEx>
          <w:tblBorders>
            <w:top w:val="single" w:color="2C2C2C" w:sz="4" w:space="0"/>
            <w:left w:val="single" w:color="2C2C2C" w:sz="4" w:space="0"/>
            <w:bottom w:val="single" w:color="2C2C2C" w:sz="4" w:space="0"/>
            <w:right w:val="single" w:color="2C2C2C" w:sz="4" w:space="0"/>
            <w:insideH w:val="single" w:color="2C2C2C" w:sz="4" w:space="0"/>
            <w:insideV w:val="single" w:color="2C2C2C" w:sz="4" w:space="0"/>
          </w:tblBorders>
          <w:tblCellMar>
            <w:top w:w="0" w:type="dxa"/>
            <w:left w:w="0" w:type="dxa"/>
            <w:bottom w:w="0" w:type="dxa"/>
            <w:right w:w="0" w:type="dxa"/>
          </w:tblCellMar>
        </w:tblPrEx>
        <w:trPr>
          <w:trHeight w:val="812" w:hRule="atLeast"/>
          <w:jc w:val="center"/>
        </w:trPr>
        <w:tc>
          <w:tcPr>
            <w:tcW w:w="922" w:type="dxa"/>
            <w:tcBorders>
              <w:top w:val="single" w:color="2C2C2C" w:sz="4" w:space="0"/>
              <w:left w:val="single" w:color="2C2C2C" w:sz="4" w:space="0"/>
              <w:bottom w:val="single" w:color="2C2C2C" w:sz="4" w:space="0"/>
              <w:right w:val="single" w:color="2C2C2C" w:sz="4" w:space="0"/>
            </w:tcBorders>
            <w:noWrap w:val="0"/>
            <w:vAlign w:val="center"/>
          </w:tcPr>
          <w:p w14:paraId="6041368F">
            <w:pPr>
              <w:spacing w:line="360" w:lineRule="exact"/>
              <w:jc w:val="center"/>
              <w:textAlignment w:val="baseline"/>
              <w:rPr>
                <w:rStyle w:val="20"/>
                <w:rFonts w:ascii="Times New Roman" w:hAnsi="Times New Roman" w:eastAsia="黑体"/>
                <w:sz w:val="28"/>
                <w:szCs w:val="28"/>
              </w:rPr>
            </w:pPr>
            <w:r>
              <w:rPr>
                <w:rStyle w:val="20"/>
                <w:rFonts w:ascii="Times New Roman" w:hAnsi="Times New Roman" w:eastAsia="黑体"/>
                <w:sz w:val="28"/>
                <w:szCs w:val="28"/>
              </w:rPr>
              <w:t>进展</w:t>
            </w:r>
          </w:p>
          <w:p w14:paraId="43530639">
            <w:pPr>
              <w:spacing w:line="360" w:lineRule="exact"/>
              <w:jc w:val="center"/>
              <w:textAlignment w:val="baseline"/>
              <w:rPr>
                <w:rStyle w:val="20"/>
                <w:rFonts w:ascii="Times New Roman" w:hAnsi="Times New Roman" w:eastAsia="黑体"/>
                <w:sz w:val="28"/>
                <w:szCs w:val="28"/>
              </w:rPr>
            </w:pPr>
            <w:r>
              <w:rPr>
                <w:rStyle w:val="20"/>
                <w:rFonts w:ascii="Times New Roman" w:hAnsi="Times New Roman" w:eastAsia="黑体"/>
                <w:sz w:val="28"/>
                <w:szCs w:val="28"/>
              </w:rPr>
              <w:t>情况</w:t>
            </w:r>
          </w:p>
        </w:tc>
        <w:tc>
          <w:tcPr>
            <w:tcW w:w="820" w:type="dxa"/>
            <w:tcBorders>
              <w:top w:val="single" w:color="2C2C2C" w:sz="4" w:space="0"/>
              <w:left w:val="single" w:color="2C2C2C" w:sz="4" w:space="0"/>
              <w:bottom w:val="single" w:color="2C2C2C" w:sz="4" w:space="0"/>
              <w:right w:val="single" w:color="2C2C2C" w:sz="4" w:space="0"/>
            </w:tcBorders>
            <w:noWrap w:val="0"/>
            <w:vAlign w:val="center"/>
          </w:tcPr>
          <w:p w14:paraId="46337FE4">
            <w:pPr>
              <w:jc w:val="center"/>
              <w:textAlignment w:val="baseline"/>
              <w:rPr>
                <w:rStyle w:val="20"/>
                <w:rFonts w:ascii="Times New Roman" w:hAnsi="Times New Roman" w:eastAsia="仿宋_GB2312"/>
                <w:sz w:val="28"/>
                <w:szCs w:val="28"/>
              </w:rPr>
            </w:pPr>
          </w:p>
        </w:tc>
        <w:tc>
          <w:tcPr>
            <w:tcW w:w="849" w:type="dxa"/>
            <w:tcBorders>
              <w:top w:val="single" w:color="2C2C2C" w:sz="4" w:space="0"/>
              <w:left w:val="single" w:color="2C2C2C" w:sz="4" w:space="0"/>
              <w:bottom w:val="single" w:color="2C2C2C" w:sz="4" w:space="0"/>
              <w:right w:val="single" w:color="2C2C2C" w:sz="4" w:space="0"/>
            </w:tcBorders>
            <w:noWrap w:val="0"/>
            <w:vAlign w:val="center"/>
          </w:tcPr>
          <w:p w14:paraId="2ED0A543">
            <w:pPr>
              <w:jc w:val="center"/>
              <w:textAlignment w:val="baseline"/>
              <w:rPr>
                <w:rStyle w:val="20"/>
                <w:rFonts w:ascii="Times New Roman" w:hAnsi="Times New Roman" w:eastAsia="仿宋_GB2312"/>
                <w:sz w:val="28"/>
                <w:szCs w:val="28"/>
              </w:rPr>
            </w:pPr>
          </w:p>
        </w:tc>
        <w:tc>
          <w:tcPr>
            <w:tcW w:w="1148" w:type="dxa"/>
            <w:tcBorders>
              <w:top w:val="single" w:color="2C2C2C" w:sz="4" w:space="0"/>
              <w:left w:val="single" w:color="2C2C2C" w:sz="4" w:space="0"/>
              <w:bottom w:val="single" w:color="2C2C2C" w:sz="4" w:space="0"/>
              <w:right w:val="single" w:color="2C2C2C" w:sz="4" w:space="0"/>
            </w:tcBorders>
            <w:noWrap w:val="0"/>
            <w:vAlign w:val="center"/>
          </w:tcPr>
          <w:p w14:paraId="40D40B71">
            <w:pPr>
              <w:jc w:val="center"/>
              <w:textAlignment w:val="baseline"/>
              <w:rPr>
                <w:rStyle w:val="20"/>
                <w:rFonts w:ascii="Times New Roman" w:hAnsi="Times New Roman" w:eastAsia="仿宋_GB2312"/>
                <w:sz w:val="28"/>
                <w:szCs w:val="28"/>
              </w:rPr>
            </w:pPr>
          </w:p>
        </w:tc>
        <w:tc>
          <w:tcPr>
            <w:tcW w:w="1514" w:type="dxa"/>
            <w:tcBorders>
              <w:top w:val="single" w:color="2C2C2C" w:sz="4" w:space="0"/>
              <w:left w:val="single" w:color="2C2C2C" w:sz="4" w:space="0"/>
              <w:bottom w:val="single" w:color="2C2C2C" w:sz="4" w:space="0"/>
              <w:right w:val="single" w:color="2C2C2C" w:sz="4" w:space="0"/>
            </w:tcBorders>
            <w:noWrap w:val="0"/>
            <w:vAlign w:val="center"/>
          </w:tcPr>
          <w:p w14:paraId="38343119">
            <w:pPr>
              <w:jc w:val="center"/>
              <w:textAlignment w:val="baseline"/>
              <w:rPr>
                <w:rStyle w:val="20"/>
                <w:rFonts w:ascii="Times New Roman" w:hAnsi="Times New Roman" w:eastAsia="仿宋_GB2312"/>
                <w:sz w:val="28"/>
                <w:szCs w:val="28"/>
              </w:rPr>
            </w:pPr>
          </w:p>
        </w:tc>
        <w:tc>
          <w:tcPr>
            <w:tcW w:w="1396" w:type="dxa"/>
            <w:tcBorders>
              <w:top w:val="single" w:color="2C2C2C" w:sz="4" w:space="0"/>
              <w:left w:val="single" w:color="2C2C2C" w:sz="4" w:space="0"/>
              <w:bottom w:val="single" w:color="2C2C2C" w:sz="4" w:space="0"/>
              <w:right w:val="single" w:color="2C2C2C" w:sz="4" w:space="0"/>
            </w:tcBorders>
            <w:noWrap w:val="0"/>
            <w:vAlign w:val="center"/>
          </w:tcPr>
          <w:p w14:paraId="21909974">
            <w:pPr>
              <w:jc w:val="center"/>
              <w:textAlignment w:val="baseline"/>
              <w:rPr>
                <w:rStyle w:val="20"/>
                <w:rFonts w:ascii="Times New Roman" w:hAnsi="Times New Roman" w:eastAsia="仿宋_GB2312"/>
                <w:sz w:val="28"/>
                <w:szCs w:val="28"/>
              </w:rPr>
            </w:pPr>
          </w:p>
        </w:tc>
        <w:tc>
          <w:tcPr>
            <w:tcW w:w="1304" w:type="dxa"/>
            <w:tcBorders>
              <w:top w:val="single" w:color="2C2C2C" w:sz="4" w:space="0"/>
              <w:left w:val="single" w:color="2C2C2C" w:sz="4" w:space="0"/>
              <w:bottom w:val="single" w:color="2C2C2C" w:sz="4" w:space="0"/>
              <w:right w:val="single" w:color="000000" w:sz="4" w:space="0"/>
            </w:tcBorders>
            <w:noWrap w:val="0"/>
            <w:vAlign w:val="center"/>
          </w:tcPr>
          <w:p w14:paraId="66935E52">
            <w:pPr>
              <w:jc w:val="center"/>
              <w:textAlignment w:val="baseline"/>
              <w:rPr>
                <w:rStyle w:val="20"/>
                <w:rFonts w:ascii="Times New Roman" w:hAnsi="Times New Roman" w:eastAsia="仿宋_GB2312"/>
                <w:sz w:val="28"/>
                <w:szCs w:val="28"/>
              </w:rPr>
            </w:pPr>
          </w:p>
        </w:tc>
        <w:tc>
          <w:tcPr>
            <w:tcW w:w="1307" w:type="dxa"/>
            <w:tcBorders>
              <w:top w:val="single" w:color="2C2C2C" w:sz="4" w:space="0"/>
              <w:left w:val="single" w:color="000000" w:sz="4" w:space="0"/>
              <w:bottom w:val="single" w:color="2C2C2C" w:sz="4" w:space="0"/>
              <w:right w:val="single" w:color="2C2C2C" w:sz="4" w:space="0"/>
            </w:tcBorders>
            <w:noWrap w:val="0"/>
            <w:vAlign w:val="center"/>
          </w:tcPr>
          <w:p w14:paraId="220F4515">
            <w:pPr>
              <w:jc w:val="center"/>
              <w:textAlignment w:val="baseline"/>
              <w:rPr>
                <w:rStyle w:val="20"/>
                <w:rFonts w:ascii="Times New Roman" w:hAnsi="Times New Roman" w:eastAsia="仿宋_GB2312"/>
                <w:sz w:val="28"/>
                <w:szCs w:val="28"/>
              </w:rPr>
            </w:pPr>
          </w:p>
        </w:tc>
        <w:tc>
          <w:tcPr>
            <w:tcW w:w="1081" w:type="dxa"/>
            <w:tcBorders>
              <w:top w:val="single" w:color="2C2C2C" w:sz="4" w:space="0"/>
              <w:left w:val="single" w:color="2C2C2C" w:sz="4" w:space="0"/>
              <w:bottom w:val="single" w:color="2C2C2C" w:sz="4" w:space="0"/>
              <w:right w:val="single" w:color="2C2C2C" w:sz="4" w:space="0"/>
            </w:tcBorders>
            <w:noWrap w:val="0"/>
            <w:vAlign w:val="center"/>
          </w:tcPr>
          <w:p w14:paraId="114E9348">
            <w:pPr>
              <w:jc w:val="center"/>
              <w:textAlignment w:val="baseline"/>
              <w:rPr>
                <w:rStyle w:val="20"/>
                <w:rFonts w:ascii="Times New Roman" w:hAnsi="Times New Roman" w:eastAsia="仿宋_GB2312"/>
                <w:sz w:val="28"/>
                <w:szCs w:val="28"/>
              </w:rPr>
            </w:pPr>
          </w:p>
        </w:tc>
        <w:tc>
          <w:tcPr>
            <w:tcW w:w="1320" w:type="dxa"/>
            <w:tcBorders>
              <w:top w:val="single" w:color="2C2C2C" w:sz="4" w:space="0"/>
              <w:left w:val="single" w:color="2C2C2C" w:sz="4" w:space="0"/>
              <w:bottom w:val="single" w:color="2C2C2C" w:sz="4" w:space="0"/>
              <w:right w:val="single" w:color="000000" w:sz="4" w:space="0"/>
            </w:tcBorders>
            <w:noWrap w:val="0"/>
            <w:vAlign w:val="center"/>
          </w:tcPr>
          <w:p w14:paraId="60ED10D4">
            <w:pPr>
              <w:jc w:val="center"/>
              <w:textAlignment w:val="baseline"/>
              <w:rPr>
                <w:rStyle w:val="20"/>
                <w:rFonts w:ascii="Times New Roman" w:hAnsi="Times New Roman" w:eastAsia="仿宋_GB2312"/>
                <w:sz w:val="28"/>
                <w:szCs w:val="28"/>
              </w:rPr>
            </w:pPr>
          </w:p>
        </w:tc>
        <w:tc>
          <w:tcPr>
            <w:tcW w:w="1170" w:type="dxa"/>
            <w:tcBorders>
              <w:top w:val="single" w:color="2C2C2C" w:sz="4" w:space="0"/>
              <w:left w:val="single" w:color="2C2C2C" w:sz="4" w:space="0"/>
              <w:bottom w:val="single" w:color="2C2C2C" w:sz="4" w:space="0"/>
              <w:right w:val="single" w:color="000000" w:sz="4" w:space="0"/>
            </w:tcBorders>
            <w:noWrap w:val="0"/>
            <w:vAlign w:val="center"/>
          </w:tcPr>
          <w:p w14:paraId="6E0E649E">
            <w:pPr>
              <w:jc w:val="center"/>
              <w:textAlignment w:val="baseline"/>
              <w:rPr>
                <w:rStyle w:val="20"/>
                <w:rFonts w:ascii="Times New Roman" w:hAnsi="Times New Roman" w:eastAsia="仿宋_GB2312"/>
                <w:sz w:val="28"/>
                <w:szCs w:val="28"/>
              </w:rPr>
            </w:pPr>
          </w:p>
        </w:tc>
        <w:tc>
          <w:tcPr>
            <w:tcW w:w="1155" w:type="dxa"/>
            <w:tcBorders>
              <w:top w:val="single" w:color="2C2C2C" w:sz="4" w:space="0"/>
              <w:left w:val="single" w:color="000000" w:sz="4" w:space="0"/>
              <w:bottom w:val="single" w:color="2C2C2C" w:sz="4" w:space="0"/>
              <w:right w:val="single" w:color="2C2C2C" w:sz="4" w:space="0"/>
            </w:tcBorders>
            <w:noWrap w:val="0"/>
            <w:vAlign w:val="center"/>
          </w:tcPr>
          <w:p w14:paraId="75CC6670">
            <w:pPr>
              <w:jc w:val="center"/>
              <w:textAlignment w:val="baseline"/>
              <w:rPr>
                <w:rStyle w:val="20"/>
                <w:rFonts w:ascii="Times New Roman" w:hAnsi="Times New Roman" w:eastAsia="仿宋_GB2312"/>
                <w:sz w:val="28"/>
                <w:szCs w:val="28"/>
              </w:rPr>
            </w:pPr>
          </w:p>
        </w:tc>
      </w:tr>
    </w:tbl>
    <w:p w14:paraId="569D5648">
      <w:pPr>
        <w:spacing w:before="120" w:beforeLines="50" w:line="560" w:lineRule="exact"/>
        <w:jc w:val="left"/>
        <w:textAlignment w:val="baseline"/>
        <w:rPr>
          <w:rStyle w:val="20"/>
          <w:rFonts w:ascii="Times New Roman" w:hAnsi="Times New Roman" w:eastAsia="仿宋_GB2312"/>
          <w:sz w:val="28"/>
          <w:szCs w:val="28"/>
        </w:rPr>
      </w:pPr>
      <w:r>
        <w:rPr>
          <w:rStyle w:val="20"/>
          <w:rFonts w:ascii="Times New Roman" w:hAnsi="Times New Roman" w:eastAsia="仿宋_GB2312"/>
          <w:sz w:val="28"/>
          <w:szCs w:val="28"/>
        </w:rPr>
        <w:t>填报单位（盖章）：                                                   填报时间：202</w:t>
      </w:r>
      <w:r>
        <w:rPr>
          <w:rStyle w:val="20"/>
          <w:rFonts w:hint="eastAsia" w:ascii="Times New Roman" w:hAnsi="Times New Roman" w:eastAsia="仿宋_GB2312"/>
          <w:sz w:val="28"/>
          <w:szCs w:val="28"/>
          <w:lang w:val="en-US"/>
        </w:rPr>
        <w:t>6</w:t>
      </w:r>
      <w:r>
        <w:rPr>
          <w:rStyle w:val="20"/>
          <w:rFonts w:ascii="Times New Roman" w:hAnsi="Times New Roman" w:eastAsia="仿宋_GB2312"/>
          <w:sz w:val="28"/>
          <w:szCs w:val="28"/>
        </w:rPr>
        <w:t>年</w:t>
      </w:r>
      <w:r>
        <w:rPr>
          <w:rStyle w:val="20"/>
          <w:rFonts w:hint="eastAsia" w:ascii="Times New Roman" w:hAnsi="Times New Roman" w:eastAsia="仿宋_GB2312"/>
          <w:sz w:val="28"/>
          <w:szCs w:val="28"/>
        </w:rPr>
        <w:t xml:space="preserve">  </w:t>
      </w:r>
      <w:r>
        <w:rPr>
          <w:rStyle w:val="20"/>
          <w:rFonts w:ascii="Times New Roman" w:hAnsi="Times New Roman" w:eastAsia="仿宋_GB2312"/>
          <w:sz w:val="28"/>
          <w:szCs w:val="28"/>
        </w:rPr>
        <w:t>月</w:t>
      </w:r>
      <w:r>
        <w:rPr>
          <w:rStyle w:val="20"/>
          <w:rFonts w:hint="eastAsia" w:ascii="Times New Roman" w:hAnsi="Times New Roman" w:eastAsia="仿宋_GB2312"/>
          <w:sz w:val="28"/>
          <w:szCs w:val="28"/>
        </w:rPr>
        <w:t xml:space="preserve">  </w:t>
      </w:r>
      <w:r>
        <w:rPr>
          <w:rStyle w:val="20"/>
          <w:rFonts w:ascii="Times New Roman" w:hAnsi="Times New Roman" w:eastAsia="仿宋_GB2312"/>
          <w:sz w:val="28"/>
          <w:szCs w:val="28"/>
        </w:rPr>
        <w:t>日</w:t>
      </w:r>
    </w:p>
    <w:p w14:paraId="29EDFB25">
      <w:pPr>
        <w:widowControl/>
        <w:spacing w:before="120" w:beforeLines="50" w:line="560" w:lineRule="exact"/>
        <w:jc w:val="left"/>
        <w:textAlignment w:val="baseline"/>
        <w:rPr>
          <w:rStyle w:val="20"/>
          <w:rFonts w:ascii="Times New Roman" w:hAnsi="Times New Roman" w:eastAsia="仿宋_GB2312"/>
          <w:sz w:val="28"/>
          <w:szCs w:val="28"/>
        </w:rPr>
      </w:pPr>
      <w:r>
        <w:rPr>
          <w:rStyle w:val="20"/>
          <w:rFonts w:ascii="Times New Roman" w:hAnsi="Times New Roman" w:eastAsia="仿宋_GB2312"/>
          <w:sz w:val="28"/>
          <w:szCs w:val="28"/>
        </w:rPr>
        <w:t>填报人：                                                         联系电话：</w:t>
      </w:r>
    </w:p>
    <w:p w14:paraId="1C044A7A">
      <w:pPr>
        <w:rPr>
          <w:rFonts w:hint="eastAsia" w:eastAsia="宋体"/>
          <w:lang w:val="en-US" w:eastAsia="zh-CN"/>
        </w:rPr>
      </w:pPr>
    </w:p>
    <w:sectPr>
      <w:pgSz w:w="16838" w:h="11906" w:orient="landscape"/>
      <w:pgMar w:top="1531" w:right="1440" w:bottom="1531" w:left="1440"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029616-60B9-42D5-ACD9-65A109CBF4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2" w:fontKey="{08885AFD-1950-4BB0-8D5F-BF64A7B28A18}"/>
  </w:font>
  <w:font w:name="仿宋_GB2312">
    <w:panose1 w:val="02010609030101010101"/>
    <w:charset w:val="86"/>
    <w:family w:val="modern"/>
    <w:pitch w:val="default"/>
    <w:sig w:usb0="00000001" w:usb1="080E0000" w:usb2="00000000" w:usb3="00000000" w:csb0="00040000" w:csb1="00000000"/>
    <w:embedRegular r:id="rId3" w:fontKey="{6434A69B-2F68-4FDA-A81D-AFF10F9937DF}"/>
  </w:font>
  <w:font w:name="楷体_GB2312">
    <w:panose1 w:val="02010609030101010101"/>
    <w:charset w:val="86"/>
    <w:family w:val="auto"/>
    <w:pitch w:val="default"/>
    <w:sig w:usb0="00000001" w:usb1="080E0000" w:usb2="00000000" w:usb3="00000000" w:csb0="00040000" w:csb1="00000000"/>
    <w:embedRegular r:id="rId4" w:fontKey="{65408E6D-F0C6-4952-824B-7816A95E2DEE}"/>
  </w:font>
  <w:font w:name="文星简小标宋">
    <w:altName w:val="方正小标宋简体"/>
    <w:panose1 w:val="00000000000000000000"/>
    <w:charset w:val="86"/>
    <w:family w:val="modern"/>
    <w:pitch w:val="default"/>
    <w:sig w:usb0="00000000" w:usb1="00000000" w:usb2="00000010" w:usb3="00000000" w:csb0="00040000" w:csb1="00000000"/>
    <w:embedRegular r:id="rId5" w:fontKey="{3BACA68F-252D-4E67-92C9-1E185A4A44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CC5E0">
    <w:pPr>
      <w:pStyle w:val="5"/>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3150809">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23150809">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E8169">
    <w:pPr>
      <w:pStyle w:val="5"/>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14:paraId="2A77DCBA">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5DF56">
    <w:pPr>
      <w:pStyle w:val="5"/>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EB5893D">
                          <w:pPr>
                            <w:pStyle w:val="5"/>
                            <w:rPr>
                              <w:rStyle w:val="11"/>
                              <w:rFonts w:hint="eastAsia" w:ascii="宋体" w:hAnsi="宋体" w:eastAsia="宋体"/>
                              <w:sz w:val="28"/>
                              <w:szCs w:val="28"/>
                            </w:rPr>
                          </w:pPr>
                          <w:r>
                            <w:rPr>
                              <w:rStyle w:val="11"/>
                              <w:rFonts w:hint="eastAsia" w:ascii="宋体" w:hAnsi="宋体" w:eastAsia="宋体"/>
                              <w:sz w:val="28"/>
                              <w:szCs w:val="28"/>
                            </w:rPr>
                            <w:t>—</w:t>
                          </w:r>
                          <w:r>
                            <w:rPr>
                              <w:rStyle w:val="11"/>
                              <w:rFonts w:hint="eastAsia" w:ascii="宋体" w:hAnsi="宋体" w:eastAsia="宋体"/>
                              <w:sz w:val="24"/>
                              <w:szCs w:val="28"/>
                            </w:rPr>
                            <w:t>　</w:t>
                          </w:r>
                          <w:r>
                            <w:rPr>
                              <w:rStyle w:val="11"/>
                              <w:rFonts w:hint="eastAsia" w:ascii="宋体" w:hAnsi="宋体" w:eastAsia="宋体"/>
                              <w:sz w:val="28"/>
                              <w:szCs w:val="28"/>
                            </w:rPr>
                            <w:fldChar w:fldCharType="begin"/>
                          </w:r>
                          <w:r>
                            <w:rPr>
                              <w:rStyle w:val="11"/>
                              <w:rFonts w:hint="eastAsia" w:ascii="宋体" w:hAnsi="宋体" w:eastAsia="宋体"/>
                              <w:sz w:val="28"/>
                              <w:szCs w:val="28"/>
                            </w:rPr>
                            <w:instrText xml:space="preserve"> PAGE  \* MERGEFORMAT </w:instrText>
                          </w:r>
                          <w:r>
                            <w:rPr>
                              <w:rStyle w:val="11"/>
                              <w:rFonts w:hint="eastAsia" w:ascii="宋体" w:hAnsi="宋体" w:eastAsia="宋体"/>
                              <w:sz w:val="28"/>
                              <w:szCs w:val="28"/>
                            </w:rPr>
                            <w:fldChar w:fldCharType="separate"/>
                          </w:r>
                          <w:r>
                            <w:rPr>
                              <w:rStyle w:val="11"/>
                              <w:rFonts w:hint="eastAsia" w:ascii="宋体" w:hAnsi="宋体" w:eastAsia="宋体"/>
                              <w:sz w:val="28"/>
                              <w:szCs w:val="28"/>
                            </w:rPr>
                            <w:t>2</w:t>
                          </w:r>
                          <w:r>
                            <w:rPr>
                              <w:rStyle w:val="11"/>
                              <w:rFonts w:hint="eastAsia" w:ascii="宋体" w:hAnsi="宋体" w:eastAsia="宋体"/>
                              <w:sz w:val="28"/>
                              <w:szCs w:val="28"/>
                            </w:rPr>
                            <w:fldChar w:fldCharType="end"/>
                          </w:r>
                          <w:r>
                            <w:rPr>
                              <w:rStyle w:val="11"/>
                              <w:rFonts w:hint="eastAsia" w:ascii="宋体" w:hAnsi="宋体" w:eastAsia="宋体"/>
                              <w:sz w:val="24"/>
                              <w:szCs w:val="28"/>
                            </w:rPr>
                            <w:t>　</w:t>
                          </w:r>
                          <w:r>
                            <w:rPr>
                              <w:rStyle w:val="11"/>
                              <w:rFonts w:hint="eastAsia" w:ascii="宋体" w:hAnsi="宋体" w:eastAsia="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4EB5893D">
                    <w:pPr>
                      <w:pStyle w:val="5"/>
                      <w:rPr>
                        <w:rStyle w:val="11"/>
                        <w:rFonts w:hint="eastAsia" w:ascii="宋体" w:hAnsi="宋体" w:eastAsia="宋体"/>
                        <w:sz w:val="28"/>
                        <w:szCs w:val="28"/>
                      </w:rPr>
                    </w:pPr>
                    <w:r>
                      <w:rPr>
                        <w:rStyle w:val="11"/>
                        <w:rFonts w:hint="eastAsia" w:ascii="宋体" w:hAnsi="宋体" w:eastAsia="宋体"/>
                        <w:sz w:val="28"/>
                        <w:szCs w:val="28"/>
                      </w:rPr>
                      <w:t>—</w:t>
                    </w:r>
                    <w:r>
                      <w:rPr>
                        <w:rStyle w:val="11"/>
                        <w:rFonts w:hint="eastAsia" w:ascii="宋体" w:hAnsi="宋体" w:eastAsia="宋体"/>
                        <w:sz w:val="24"/>
                        <w:szCs w:val="28"/>
                      </w:rPr>
                      <w:t>　</w:t>
                    </w:r>
                    <w:r>
                      <w:rPr>
                        <w:rStyle w:val="11"/>
                        <w:rFonts w:hint="eastAsia" w:ascii="宋体" w:hAnsi="宋体" w:eastAsia="宋体"/>
                        <w:sz w:val="28"/>
                        <w:szCs w:val="28"/>
                      </w:rPr>
                      <w:fldChar w:fldCharType="begin"/>
                    </w:r>
                    <w:r>
                      <w:rPr>
                        <w:rStyle w:val="11"/>
                        <w:rFonts w:hint="eastAsia" w:ascii="宋体" w:hAnsi="宋体" w:eastAsia="宋体"/>
                        <w:sz w:val="28"/>
                        <w:szCs w:val="28"/>
                      </w:rPr>
                      <w:instrText xml:space="preserve"> PAGE  \* MERGEFORMAT </w:instrText>
                    </w:r>
                    <w:r>
                      <w:rPr>
                        <w:rStyle w:val="11"/>
                        <w:rFonts w:hint="eastAsia" w:ascii="宋体" w:hAnsi="宋体" w:eastAsia="宋体"/>
                        <w:sz w:val="28"/>
                        <w:szCs w:val="28"/>
                      </w:rPr>
                      <w:fldChar w:fldCharType="separate"/>
                    </w:r>
                    <w:r>
                      <w:rPr>
                        <w:rStyle w:val="11"/>
                        <w:rFonts w:hint="eastAsia" w:ascii="宋体" w:hAnsi="宋体" w:eastAsia="宋体"/>
                        <w:sz w:val="28"/>
                        <w:szCs w:val="28"/>
                      </w:rPr>
                      <w:t>2</w:t>
                    </w:r>
                    <w:r>
                      <w:rPr>
                        <w:rStyle w:val="11"/>
                        <w:rFonts w:hint="eastAsia" w:ascii="宋体" w:hAnsi="宋体" w:eastAsia="宋体"/>
                        <w:sz w:val="28"/>
                        <w:szCs w:val="28"/>
                      </w:rPr>
                      <w:fldChar w:fldCharType="end"/>
                    </w:r>
                    <w:r>
                      <w:rPr>
                        <w:rStyle w:val="11"/>
                        <w:rFonts w:hint="eastAsia" w:ascii="宋体" w:hAnsi="宋体" w:eastAsia="宋体"/>
                        <w:sz w:val="24"/>
                        <w:szCs w:val="28"/>
                      </w:rPr>
                      <w:t>　</w:t>
                    </w:r>
                    <w:r>
                      <w:rPr>
                        <w:rStyle w:val="11"/>
                        <w:rFonts w:hint="eastAsia" w:ascii="宋体" w:hAnsi="宋体" w:eastAsia="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BDC"/>
    <w:rsid w:val="00041E55"/>
    <w:rsid w:val="000A44BF"/>
    <w:rsid w:val="00120125"/>
    <w:rsid w:val="00162B87"/>
    <w:rsid w:val="00233E93"/>
    <w:rsid w:val="00295077"/>
    <w:rsid w:val="002E1670"/>
    <w:rsid w:val="002E3A88"/>
    <w:rsid w:val="002F4A77"/>
    <w:rsid w:val="003F0BDC"/>
    <w:rsid w:val="004E7AF1"/>
    <w:rsid w:val="00542C72"/>
    <w:rsid w:val="00561774"/>
    <w:rsid w:val="0059190B"/>
    <w:rsid w:val="005B53CB"/>
    <w:rsid w:val="005F3A91"/>
    <w:rsid w:val="00637666"/>
    <w:rsid w:val="00653E0B"/>
    <w:rsid w:val="00864DF6"/>
    <w:rsid w:val="00896547"/>
    <w:rsid w:val="008E1795"/>
    <w:rsid w:val="00957982"/>
    <w:rsid w:val="009A720A"/>
    <w:rsid w:val="009D3C84"/>
    <w:rsid w:val="00A76EA1"/>
    <w:rsid w:val="00AC36C9"/>
    <w:rsid w:val="00AF4F42"/>
    <w:rsid w:val="00B7313E"/>
    <w:rsid w:val="00BB1763"/>
    <w:rsid w:val="00BB700D"/>
    <w:rsid w:val="00BD78A2"/>
    <w:rsid w:val="00BE0092"/>
    <w:rsid w:val="00C263D7"/>
    <w:rsid w:val="00C30132"/>
    <w:rsid w:val="00CC0423"/>
    <w:rsid w:val="00CC2B75"/>
    <w:rsid w:val="00CF1D21"/>
    <w:rsid w:val="00D51514"/>
    <w:rsid w:val="00D97787"/>
    <w:rsid w:val="00DB5A57"/>
    <w:rsid w:val="00DD0370"/>
    <w:rsid w:val="00E47CEC"/>
    <w:rsid w:val="00F21FFE"/>
    <w:rsid w:val="00F603A0"/>
    <w:rsid w:val="00F60D89"/>
    <w:rsid w:val="00F6388A"/>
    <w:rsid w:val="00FA15B8"/>
    <w:rsid w:val="00FC5D95"/>
    <w:rsid w:val="1F7F51F8"/>
    <w:rsid w:val="1FFF584A"/>
    <w:rsid w:val="3DBF35EE"/>
    <w:rsid w:val="3F3445BC"/>
    <w:rsid w:val="5DDE2E95"/>
    <w:rsid w:val="5FFECBE6"/>
    <w:rsid w:val="67EF78AC"/>
    <w:rsid w:val="6BFBEB52"/>
    <w:rsid w:val="72BB3593"/>
    <w:rsid w:val="79EF1E85"/>
    <w:rsid w:val="7CCB502D"/>
    <w:rsid w:val="7D5A5A66"/>
    <w:rsid w:val="7D7F2486"/>
    <w:rsid w:val="7F9F0C21"/>
    <w:rsid w:val="7FA8FA82"/>
    <w:rsid w:val="9DEED0DD"/>
    <w:rsid w:val="9FFB4BA0"/>
    <w:rsid w:val="C4FEB53A"/>
    <w:rsid w:val="CFDB5BA7"/>
    <w:rsid w:val="DFF794C9"/>
    <w:rsid w:val="EF7E5C52"/>
    <w:rsid w:val="F3670A98"/>
    <w:rsid w:val="FBF281E2"/>
    <w:rsid w:val="FBFD6C96"/>
    <w:rsid w:val="FDFD9BC9"/>
    <w:rsid w:val="FE270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sz w:val="44"/>
    </w:rPr>
  </w:style>
  <w:style w:type="paragraph" w:styleId="3">
    <w:name w:val="Body Text Indent"/>
    <w:basedOn w:val="1"/>
    <w:qFormat/>
    <w:uiPriority w:val="0"/>
    <w:pPr>
      <w:ind w:firstLine="360"/>
    </w:pPr>
  </w:style>
  <w:style w:type="paragraph" w:styleId="4">
    <w:name w:val="Date"/>
    <w:basedOn w:val="1"/>
    <w:next w:val="1"/>
    <w:qFormat/>
    <w:uiPriority w:val="0"/>
    <w:rPr>
      <w:rFonts w:ascii="仿宋_GB2312" w:eastAsia="仿宋_GB2312"/>
      <w:sz w:val="3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customStyle="1" w:styleId="12">
    <w:name w:val="Hei Ti"/>
    <w:qFormat/>
    <w:uiPriority w:val="0"/>
    <w:rPr>
      <w:rFonts w:ascii="黑体" w:hAnsi="黑体" w:eastAsia="黑体" w:cs="黑体"/>
      <w:sz w:val="32"/>
    </w:rPr>
  </w:style>
  <w:style w:type="character" w:customStyle="1" w:styleId="13">
    <w:name w:val="Hei Ti Bold"/>
    <w:qFormat/>
    <w:uiPriority w:val="0"/>
    <w:rPr>
      <w:rFonts w:ascii="黑体" w:hAnsi="黑体" w:eastAsia="黑体" w:cs="黑体"/>
      <w:b/>
      <w:sz w:val="32"/>
    </w:rPr>
  </w:style>
  <w:style w:type="character" w:customStyle="1" w:styleId="14">
    <w:name w:val="Hei Ti Bold1"/>
    <w:qFormat/>
    <w:uiPriority w:val="0"/>
    <w:rPr>
      <w:rFonts w:ascii="黑体" w:hAnsi="黑体" w:eastAsia="黑体" w:cs="黑体"/>
      <w:b/>
      <w:sz w:val="36"/>
    </w:rPr>
  </w:style>
  <w:style w:type="character" w:customStyle="1" w:styleId="15">
    <w:name w:val="GB_2312"/>
    <w:qFormat/>
    <w:uiPriority w:val="0"/>
    <w:rPr>
      <w:rFonts w:ascii="仿宋_GB2312" w:hAnsi="仿宋_GB2312" w:eastAsia="仿宋_GB2312" w:cs="仿宋_GB2312"/>
      <w:sz w:val="32"/>
    </w:rPr>
  </w:style>
  <w:style w:type="character" w:customStyle="1" w:styleId="16">
    <w:name w:val="GB_23121"/>
    <w:qFormat/>
    <w:uiPriority w:val="0"/>
    <w:rPr>
      <w:rFonts w:ascii="仿宋_GB2312" w:hAnsi="仿宋_GB2312" w:eastAsia="仿宋_GB2312" w:cs="仿宋_GB2312"/>
      <w:sz w:val="36"/>
    </w:rPr>
  </w:style>
  <w:style w:type="character" w:customStyle="1" w:styleId="17">
    <w:name w:val="Red_Color"/>
    <w:qFormat/>
    <w:uiPriority w:val="0"/>
    <w:rPr>
      <w:rFonts w:ascii="方正小标宋简体" w:hAnsi="方正小标宋简体" w:eastAsia="方正小标宋简体" w:cs="方正小标宋简体"/>
      <w:color w:val="FF0000"/>
      <w:sz w:val="65"/>
    </w:rPr>
  </w:style>
  <w:style w:type="character" w:customStyle="1" w:styleId="18">
    <w:name w:val="KaiTi"/>
    <w:qFormat/>
    <w:uiPriority w:val="0"/>
    <w:rPr>
      <w:rFonts w:ascii="楷体_GB2312" w:hAnsi="楷体_GB2312" w:eastAsia="楷体_GB2312" w:cs="楷体_GB2312"/>
      <w:sz w:val="32"/>
    </w:rPr>
  </w:style>
  <w:style w:type="character" w:customStyle="1" w:styleId="19">
    <w:name w:val="Fz_Xbs"/>
    <w:qFormat/>
    <w:uiPriority w:val="0"/>
    <w:rPr>
      <w:rFonts w:ascii="方正小标宋简体" w:hAnsi="方正小标宋简体" w:eastAsia="方正小标宋简体" w:cs="方正小标宋简体"/>
      <w:sz w:val="44"/>
    </w:rPr>
  </w:style>
  <w:style w:type="character" w:customStyle="1" w:styleId="20">
    <w:name w:val="NormalCharacter"/>
    <w:semiHidden/>
    <w:qFormat/>
    <w:uiPriority w:val="0"/>
    <w:rPr>
      <w:rFonts w:ascii="Times New Roman" w:hAnsi="Times New Roman" w:eastAsia="宋体" w:cs="Times New Roman"/>
      <w:kern w:val="2"/>
      <w:sz w:val="21"/>
      <w:lang w:val="en-US" w:eastAsia="zh-CN" w:bidi="ar-SA"/>
    </w:rPr>
  </w:style>
  <w:style w:type="character" w:customStyle="1" w:styleId="21">
    <w:name w:val="Hei Ti1"/>
    <w:qFormat/>
    <w:uiPriority w:val="0"/>
    <w:rPr>
      <w:rFonts w:ascii="黑体" w:hAnsi="黑体" w:eastAsia="黑体" w:cs="黑体"/>
      <w:sz w:val="32"/>
    </w:rPr>
  </w:style>
  <w:style w:type="character" w:customStyle="1" w:styleId="22">
    <w:name w:val="Hei Ti Bold2"/>
    <w:qFormat/>
    <w:uiPriority w:val="0"/>
    <w:rPr>
      <w:rFonts w:ascii="黑体" w:hAnsi="黑体" w:eastAsia="黑体" w:cs="黑体"/>
      <w:b/>
      <w:sz w:val="32"/>
    </w:rPr>
  </w:style>
  <w:style w:type="character" w:customStyle="1" w:styleId="23">
    <w:name w:val="Hei Ti Bold3"/>
    <w:qFormat/>
    <w:uiPriority w:val="0"/>
    <w:rPr>
      <w:rFonts w:ascii="黑体" w:hAnsi="黑体" w:eastAsia="黑体" w:cs="黑体"/>
      <w:b/>
      <w:sz w:val="36"/>
    </w:rPr>
  </w:style>
  <w:style w:type="character" w:customStyle="1" w:styleId="24">
    <w:name w:val="GB_23122"/>
    <w:qFormat/>
    <w:uiPriority w:val="0"/>
    <w:rPr>
      <w:rFonts w:ascii="仿宋_GB2312" w:hAnsi="仿宋_GB2312" w:eastAsia="仿宋_GB2312" w:cs="仿宋_GB2312"/>
      <w:sz w:val="32"/>
    </w:rPr>
  </w:style>
  <w:style w:type="character" w:customStyle="1" w:styleId="25">
    <w:name w:val="GB_23123"/>
    <w:qFormat/>
    <w:uiPriority w:val="0"/>
    <w:rPr>
      <w:rFonts w:ascii="仿宋_GB2312" w:hAnsi="仿宋_GB2312" w:eastAsia="仿宋_GB2312" w:cs="仿宋_GB2312"/>
      <w:sz w:val="36"/>
    </w:rPr>
  </w:style>
  <w:style w:type="character" w:customStyle="1" w:styleId="26">
    <w:name w:val="Red_Color1"/>
    <w:qFormat/>
    <w:uiPriority w:val="0"/>
    <w:rPr>
      <w:rFonts w:ascii="方正小标宋简体" w:hAnsi="方正小标宋简体" w:eastAsia="方正小标宋简体" w:cs="方正小标宋简体"/>
      <w:color w:val="000000"/>
      <w:sz w:val="65"/>
    </w:rPr>
  </w:style>
  <w:style w:type="character" w:customStyle="1" w:styleId="27">
    <w:name w:val="KaiTi1"/>
    <w:qFormat/>
    <w:uiPriority w:val="0"/>
    <w:rPr>
      <w:rFonts w:ascii="楷体_GB2312" w:hAnsi="楷体_GB2312" w:eastAsia="楷体_GB2312" w:cs="楷体_GB2312"/>
      <w:sz w:val="32"/>
    </w:rPr>
  </w:style>
  <w:style w:type="character" w:customStyle="1" w:styleId="28">
    <w:name w:val="Fz_Xbs1"/>
    <w:qFormat/>
    <w:uiPriority w:val="0"/>
    <w:rPr>
      <w:rFonts w:ascii="方正小标宋简体" w:hAnsi="方正小标宋简体" w:eastAsia="方正小标宋简体" w:cs="方正小标宋简体"/>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7</Pages>
  <Words>2595</Words>
  <Characters>2645</Characters>
  <Lines>1</Lines>
  <Paragraphs>1</Paragraphs>
  <TotalTime>8</TotalTime>
  <ScaleCrop>false</ScaleCrop>
  <LinksUpToDate>false</LinksUpToDate>
  <CharactersWithSpaces>2789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2020-09-19T06:56:00Z</dcterms:created>
  <dc:creator>admin</dc:creator>
  <cp:lastModifiedBy>佟萌萌</cp:lastModifiedBy>
  <cp:lastPrinted>2005-02-24T15:04:00Z</cp:lastPrinted>
  <dcterms:modified xsi:type="dcterms:W3CDTF">2026-08-04T09:09:50Z</dcterms:modified>
  <dc:title>【信息公开建议】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B9E1CEA84D242D46DA42716A36EB09E3</vt:lpwstr>
  </property>
  <property fmtid="{D5CDD505-2E9C-101B-9397-08002B2CF9AE}" pid="4" name="KSOTemplateDocerSaveRecord">
    <vt:lpwstr>eyJoZGlkIjoiYzA2Zjg1M2UzNzA3NDhiMTI3MTJmMDBmNzZjODczMDgiLCJ1c2VySWQiOiIxNjg5NjI2OTUwIn0=</vt:lpwstr>
  </property>
</Properties>
</file>