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napToGrid w:val="0"/>
        <w:jc w:val="both"/>
        <w:rPr>
          <w:rFonts w:eastAsia="仿宋_GB2312"/>
          <w:szCs w:val="32"/>
        </w:rPr>
      </w:pPr>
    </w:p>
    <w:p>
      <w:pPr>
        <w:pStyle w:val="2"/>
        <w:snapToGrid w:val="0"/>
        <w:jc w:val="center"/>
        <w:rPr>
          <w:rStyle w:val="11"/>
          <w:rFonts w:hint="eastAsia" w:ascii="方正小标宋简体" w:hAnsi="方正小标宋_GBK" w:eastAsia="方正小标宋简体" w:cs="方正小标宋_GBK"/>
          <w:color w:val="auto"/>
          <w:sz w:val="44"/>
          <w:szCs w:val="44"/>
          <w:u w:val="none"/>
        </w:rPr>
      </w:pPr>
      <w:r>
        <w:rPr>
          <w:rStyle w:val="11"/>
          <w:rFonts w:hint="eastAsia" w:ascii="方正小标宋简体" w:hAnsi="方正小标宋_GBK" w:eastAsia="方正小标宋简体" w:cs="方正小标宋_GBK"/>
          <w:color w:val="auto"/>
          <w:sz w:val="44"/>
          <w:szCs w:val="44"/>
          <w:u w:val="none"/>
        </w:rPr>
        <w:t>天津市人民政府办公</w:t>
      </w:r>
      <w:bookmarkStart w:id="0" w:name="_GoBack"/>
      <w:bookmarkEnd w:id="0"/>
      <w:r>
        <w:rPr>
          <w:rStyle w:val="11"/>
          <w:rFonts w:hint="eastAsia" w:ascii="方正小标宋简体" w:hAnsi="方正小标宋_GBK" w:eastAsia="方正小标宋简体" w:cs="方正小标宋_GBK"/>
          <w:color w:val="auto"/>
          <w:sz w:val="44"/>
          <w:szCs w:val="44"/>
          <w:u w:val="none"/>
        </w:rPr>
        <w:t>厅关于印发天津市</w:t>
      </w:r>
    </w:p>
    <w:p>
      <w:pPr>
        <w:pStyle w:val="2"/>
        <w:snapToGrid w:val="0"/>
        <w:jc w:val="center"/>
        <w:rPr>
          <w:rStyle w:val="11"/>
          <w:rFonts w:ascii="方正小标宋_GBK" w:hAnsi="方正小标宋_GBK" w:eastAsia="方正小标宋_GBK" w:cs="方正小标宋_GBK"/>
          <w:color w:val="auto"/>
          <w:sz w:val="44"/>
          <w:szCs w:val="44"/>
          <w:u w:val="none"/>
        </w:rPr>
      </w:pPr>
      <w:r>
        <w:rPr>
          <w:rStyle w:val="11"/>
          <w:rFonts w:hint="eastAsia" w:ascii="方正小标宋简体" w:hAnsi="方正小标宋_GBK" w:eastAsia="方正小标宋简体" w:cs="方正小标宋_GBK"/>
          <w:color w:val="auto"/>
          <w:sz w:val="44"/>
          <w:szCs w:val="44"/>
          <w:u w:val="none"/>
        </w:rPr>
        <w:t>加快场景创新和应用工作方案的通知</w:t>
      </w:r>
    </w:p>
    <w:p>
      <w:pPr>
        <w:pStyle w:val="2"/>
        <w:rPr>
          <w:rFonts w:ascii="仿宋_GB2312" w:hAnsi="仿宋_GB2312" w:eastAsia="仿宋_GB2312" w:cs="仿宋_GB2312"/>
          <w:szCs w:val="32"/>
        </w:rPr>
      </w:pPr>
    </w:p>
    <w:p>
      <w:pPr>
        <w:pStyle w:val="2"/>
        <w:rPr>
          <w:rFonts w:ascii="仿宋_GB2312" w:eastAsia="仿宋_GB2312"/>
        </w:rPr>
      </w:pPr>
      <w:r>
        <w:rPr>
          <w:rFonts w:hint="eastAsia" w:ascii="仿宋_GB2312" w:eastAsia="仿宋_GB2312"/>
        </w:rPr>
        <w:t>各区人民政府，市政府各委、办、局：</w:t>
      </w:r>
    </w:p>
    <w:p>
      <w:pPr>
        <w:pStyle w:val="2"/>
        <w:ind w:firstLine="612" w:firstLineChars="196"/>
        <w:rPr>
          <w:rFonts w:eastAsia="仿宋_GB2312"/>
          <w:szCs w:val="32"/>
        </w:rPr>
      </w:pPr>
      <w:r>
        <w:rPr>
          <w:rFonts w:hint="eastAsia" w:eastAsia="仿宋_GB2312"/>
          <w:szCs w:val="32"/>
        </w:rPr>
        <w:t>经市人民政府同意，现将《天津市加快场景创新和应用工作方案》印发给你们，请照此执行。</w:t>
      </w:r>
    </w:p>
    <w:p>
      <w:pPr>
        <w:pStyle w:val="2"/>
        <w:rPr>
          <w:rFonts w:eastAsia="仿宋_GB2312"/>
          <w:szCs w:val="32"/>
        </w:rPr>
      </w:pPr>
    </w:p>
    <w:p>
      <w:pPr>
        <w:pStyle w:val="2"/>
        <w:ind w:firstLine="4680" w:firstLineChars="1500"/>
        <w:rPr>
          <w:rFonts w:eastAsia="仿宋_GB2312"/>
          <w:szCs w:val="32"/>
        </w:rPr>
      </w:pPr>
      <w:r>
        <w:rPr>
          <w:rFonts w:hint="eastAsia" w:ascii="Times New Roman" w:hAnsi="Times New Roman" w:eastAsia="仿宋_GB2312"/>
          <w:szCs w:val="32"/>
          <w:lang w:val="en-US" w:eastAsia="zh-CN"/>
        </w:rPr>
        <w:t>天津市人民政府办公厅</w:t>
      </w:r>
    </w:p>
    <w:p>
      <w:pPr>
        <w:pStyle w:val="2"/>
        <w:wordWrap w:val="0"/>
        <w:spacing w:line="560" w:lineRule="exact"/>
        <w:jc w:val="right"/>
        <w:rPr>
          <w:rFonts w:eastAsia="仿宋_GB2312"/>
          <w:szCs w:val="32"/>
        </w:rPr>
      </w:pPr>
      <w:r>
        <w:rPr>
          <w:rFonts w:eastAsia="仿宋_GB2312"/>
          <w:szCs w:val="32"/>
        </w:rPr>
        <w:t>2026</w:t>
      </w:r>
      <w:r>
        <w:rPr>
          <w:rFonts w:hint="eastAsia" w:eastAsia="仿宋_GB2312"/>
          <w:szCs w:val="32"/>
        </w:rPr>
        <w:t xml:space="preserve">年9月29日        </w:t>
      </w:r>
    </w:p>
    <w:p>
      <w:pPr>
        <w:pStyle w:val="2"/>
        <w:spacing w:line="500" w:lineRule="exact"/>
        <w:rPr>
          <w:rFonts w:eastAsia="仿宋_GB2312"/>
          <w:szCs w:val="32"/>
        </w:rPr>
        <w:sectPr>
          <w:headerReference r:id="rId3" w:type="default"/>
          <w:footerReference r:id="rId4" w:type="default"/>
          <w:footerReference r:id="rId5" w:type="even"/>
          <w:pgSz w:w="11907" w:h="16840"/>
          <w:pgMar w:top="2098" w:right="1474" w:bottom="1985" w:left="1588" w:header="851" w:footer="1701" w:gutter="0"/>
          <w:cols w:space="720" w:num="1"/>
          <w:docGrid w:type="linesAndChars" w:linePitch="289" w:charSpace="-1839"/>
        </w:sectPr>
      </w:pPr>
      <w:r>
        <w:rPr>
          <w:rFonts w:hint="eastAsia" w:eastAsia="仿宋_GB2312"/>
          <w:szCs w:val="32"/>
        </w:rPr>
        <w:t xml:space="preserve">    （此件主动公开）</w:t>
      </w:r>
    </w:p>
    <w:p>
      <w:pPr>
        <w:pStyle w:val="2"/>
        <w:snapToGrid w:val="0"/>
        <w:jc w:val="center"/>
        <w:rPr>
          <w:rFonts w:ascii="方正小标宋简体" w:hAnsi="方正小标宋简体" w:eastAsia="方正小标宋简体" w:cs="方正小标宋简体"/>
          <w:sz w:val="44"/>
          <w:szCs w:val="44"/>
        </w:rPr>
      </w:pPr>
      <w:r>
        <w:rPr>
          <w:rStyle w:val="11"/>
          <w:rFonts w:hint="eastAsia" w:ascii="方正小标宋简体" w:hAnsi="方正小标宋_GBK" w:eastAsia="方正小标宋简体" w:cs="方正小标宋_GBK"/>
          <w:color w:val="auto"/>
          <w:sz w:val="44"/>
          <w:szCs w:val="44"/>
          <w:u w:val="none"/>
        </w:rPr>
        <w:t>天津市加快场景创新和应用工作方案</w:t>
      </w:r>
    </w:p>
    <w:p>
      <w:pPr>
        <w:pStyle w:val="2"/>
        <w:snapToGrid w:val="0"/>
        <w:rPr>
          <w:rFonts w:ascii="仿宋_GB2312" w:hAnsi="仿宋_GB2312" w:eastAsia="仿宋_GB2312" w:cs="仿宋_GB2312"/>
          <w:szCs w:val="32"/>
        </w:rPr>
      </w:pPr>
    </w:p>
    <w:p>
      <w:pPr>
        <w:pStyle w:val="2"/>
        <w:ind w:firstLine="624" w:firstLineChars="200"/>
        <w:rPr>
          <w:rFonts w:ascii="仿宋_GB2312" w:hAnsi="仿宋_GB2312" w:eastAsia="仿宋_GB2312" w:cs="仿宋_GB2312"/>
          <w:szCs w:val="32"/>
        </w:rPr>
      </w:pPr>
      <w:r>
        <w:rPr>
          <w:rFonts w:hint="eastAsia" w:ascii="仿宋_GB2312" w:hAnsi="仿宋_GB2312" w:eastAsia="仿宋_GB2312" w:cs="仿宋_GB2312"/>
          <w:szCs w:val="32"/>
        </w:rPr>
        <w:t>场景是用于系统性验证新技术、新产品、新业态产业化应用以及配套基础设施、商业模式、制度政策的具体情境，是连接技术和产业、打通研发和市场的桥梁，是推动科技创新和产业创新融合发展的重要载体，对促进新技术新产品规模化商业化应用具有重要牵引作用。为深入挖掘优质场景资源，扩大场景供给和开放，根据《国务院办公厅关于加快场景培育和开放推动新场景大规模应用的实施意见》（国办发〔</w:t>
      </w:r>
      <w:r>
        <w:rPr>
          <w:rFonts w:eastAsia="仿宋_GB2312"/>
          <w:szCs w:val="32"/>
        </w:rPr>
        <w:t>2025〕37</w:t>
      </w:r>
      <w:r>
        <w:rPr>
          <w:rFonts w:hint="eastAsia" w:ascii="仿宋_GB2312" w:hAnsi="仿宋_GB2312" w:eastAsia="仿宋_GB2312" w:cs="仿宋_GB2312"/>
          <w:szCs w:val="32"/>
        </w:rPr>
        <w:t>号），结合本市实际，制定本方案。</w:t>
      </w:r>
    </w:p>
    <w:p>
      <w:pPr>
        <w:pStyle w:val="2"/>
        <w:ind w:firstLine="624" w:firstLineChars="200"/>
        <w:rPr>
          <w:rFonts w:ascii="黑体" w:hAnsi="黑体" w:eastAsia="黑体" w:cs="黑体"/>
          <w:szCs w:val="32"/>
        </w:rPr>
      </w:pPr>
      <w:r>
        <w:rPr>
          <w:rFonts w:hint="eastAsia" w:ascii="黑体" w:hAnsi="黑体" w:eastAsia="黑体" w:cs="黑体"/>
          <w:szCs w:val="32"/>
        </w:rPr>
        <w:t>一、工作目标</w:t>
      </w:r>
    </w:p>
    <w:p>
      <w:pPr>
        <w:pStyle w:val="2"/>
        <w:ind w:firstLine="624" w:firstLineChars="200"/>
        <w:rPr>
          <w:rFonts w:ascii="仿宋_GB2312" w:hAnsi="仿宋_GB2312" w:eastAsia="仿宋_GB2312" w:cs="仿宋_GB2312"/>
          <w:szCs w:val="32"/>
        </w:rPr>
      </w:pPr>
      <w:r>
        <w:rPr>
          <w:rFonts w:hint="eastAsia" w:ascii="仿宋_GB2312" w:hAnsi="仿宋_GB2312" w:eastAsia="仿宋_GB2312" w:cs="仿宋_GB2312"/>
          <w:szCs w:val="32"/>
        </w:rPr>
        <w:t>以“给场景、育产业、促发展”为主线，以科技创新和产业创新深度融合为导向，聚焦前沿科技创新、产业转型升级、城乡高效治理、智慧民生服务、京津冀区域协同五大方向，按照“政府统筹、市场驱动，创新引领、改革推动，安全有序、资源整合，系统推进、重点突破”的原则，分层次、市场化推动一批新场景大规模应用，为加快培育发展新质生产力、推动高质量发展提供有力支撑。</w:t>
      </w:r>
    </w:p>
    <w:p>
      <w:pPr>
        <w:pStyle w:val="2"/>
        <w:ind w:firstLine="624" w:firstLineChars="200"/>
        <w:rPr>
          <w:rFonts w:ascii="仿宋_GB2312" w:hAnsi="仿宋_GB2312" w:eastAsia="仿宋_GB2312" w:cs="仿宋_GB2312"/>
          <w:szCs w:val="32"/>
        </w:rPr>
      </w:pPr>
      <w:r>
        <w:rPr>
          <w:rFonts w:hint="eastAsia" w:ascii="黑体" w:hAnsi="黑体" w:eastAsia="黑体" w:cs="黑体"/>
          <w:szCs w:val="32"/>
        </w:rPr>
        <w:t>——</w:t>
      </w:r>
      <w:r>
        <w:rPr>
          <w:rFonts w:hint="eastAsia" w:ascii="仿宋_GB2312" w:hAnsi="仿宋_GB2312" w:eastAsia="仿宋_GB2312" w:cs="仿宋_GB2312"/>
          <w:szCs w:val="32"/>
        </w:rPr>
        <w:t>到</w:t>
      </w:r>
      <w:r>
        <w:rPr>
          <w:rFonts w:eastAsia="仿宋_GB2312"/>
          <w:szCs w:val="32"/>
        </w:rPr>
        <w:t>2026年</w:t>
      </w:r>
      <w:r>
        <w:rPr>
          <w:rFonts w:hint="eastAsia" w:ascii="仿宋_GB2312" w:hAnsi="仿宋_GB2312" w:eastAsia="仿宋_GB2312" w:cs="仿宋_GB2312"/>
          <w:szCs w:val="32"/>
        </w:rPr>
        <w:t>底，市级场景创新服务平台上线运行，场景供需对接机制建立完成，场景机会、场景能力、典型场景“三张清单”动态发布，市场化运营公司、专家咨询委员会、金融服务机构全面参与场景建设，各级各部门场景意识显著增强，政府、市场、企业多元路径探索取得明显成效，一批重大场景起步建设。</w:t>
      </w:r>
    </w:p>
    <w:p>
      <w:pPr>
        <w:pStyle w:val="2"/>
        <w:ind w:firstLine="624" w:firstLineChars="200"/>
        <w:rPr>
          <w:rFonts w:ascii="仿宋_GB2312" w:hAnsi="仿宋_GB2312" w:eastAsia="仿宋_GB2312" w:cs="仿宋_GB2312"/>
          <w:szCs w:val="32"/>
        </w:rPr>
      </w:pPr>
      <w:r>
        <w:rPr>
          <w:rFonts w:hint="eastAsia" w:ascii="黑体" w:hAnsi="黑体" w:eastAsia="黑体" w:cs="黑体"/>
          <w:szCs w:val="32"/>
        </w:rPr>
        <w:t>——</w:t>
      </w:r>
      <w:r>
        <w:rPr>
          <w:rFonts w:hint="eastAsia" w:ascii="仿宋_GB2312" w:hAnsi="仿宋_GB2312" w:eastAsia="仿宋_GB2312" w:cs="仿宋_GB2312"/>
          <w:szCs w:val="32"/>
        </w:rPr>
        <w:t>到</w:t>
      </w:r>
      <w:r>
        <w:rPr>
          <w:rFonts w:eastAsia="仿宋_GB2312"/>
          <w:szCs w:val="32"/>
        </w:rPr>
        <w:t>2028</w:t>
      </w:r>
      <w:r>
        <w:rPr>
          <w:rFonts w:hint="eastAsia" w:ascii="仿宋_GB2312" w:hAnsi="仿宋_GB2312" w:eastAsia="仿宋_GB2312" w:cs="仿宋_GB2312"/>
          <w:szCs w:val="32"/>
        </w:rPr>
        <w:t>年底，力争打造</w:t>
      </w:r>
      <w:r>
        <w:rPr>
          <w:rFonts w:eastAsia="仿宋_GB2312"/>
          <w:szCs w:val="32"/>
        </w:rPr>
        <w:t>10</w:t>
      </w:r>
      <w:r>
        <w:rPr>
          <w:rFonts w:hint="eastAsia" w:ascii="仿宋_GB2312" w:hAnsi="仿宋_GB2312" w:eastAsia="仿宋_GB2312" w:cs="仿宋_GB2312"/>
          <w:szCs w:val="32"/>
        </w:rPr>
        <w:t>个以上国家综合性重大应用场景、</w:t>
      </w:r>
      <w:r>
        <w:rPr>
          <w:rFonts w:eastAsia="仿宋_GB2312"/>
          <w:szCs w:val="32"/>
        </w:rPr>
        <w:t>50个</w:t>
      </w:r>
      <w:r>
        <w:rPr>
          <w:rFonts w:hint="eastAsia" w:ascii="仿宋_GB2312" w:hAnsi="仿宋_GB2312" w:eastAsia="仿宋_GB2312" w:cs="仿宋_GB2312"/>
          <w:szCs w:val="32"/>
        </w:rPr>
        <w:t>以上市级特色应用场景、</w:t>
      </w:r>
      <w:r>
        <w:rPr>
          <w:rFonts w:eastAsia="仿宋_GB2312"/>
          <w:szCs w:val="32"/>
        </w:rPr>
        <w:t>100个</w:t>
      </w:r>
      <w:r>
        <w:rPr>
          <w:rFonts w:hint="eastAsia" w:ascii="仿宋_GB2312" w:hAnsi="仿宋_GB2312" w:eastAsia="仿宋_GB2312" w:cs="仿宋_GB2312"/>
          <w:szCs w:val="32"/>
        </w:rPr>
        <w:t>以上区级特色应用场景，挖掘</w:t>
      </w:r>
      <w:r>
        <w:rPr>
          <w:rFonts w:eastAsia="仿宋_GB2312"/>
          <w:szCs w:val="32"/>
        </w:rPr>
        <w:t>200个</w:t>
      </w:r>
      <w:r>
        <w:rPr>
          <w:rFonts w:hint="eastAsia" w:ascii="仿宋_GB2312" w:hAnsi="仿宋_GB2312" w:eastAsia="仿宋_GB2312" w:cs="仿宋_GB2312"/>
          <w:szCs w:val="32"/>
        </w:rPr>
        <w:t>以上央企国企开放应用场景机会，赋能</w:t>
      </w:r>
      <w:r>
        <w:rPr>
          <w:rFonts w:eastAsia="仿宋_GB2312"/>
          <w:szCs w:val="32"/>
        </w:rPr>
        <w:t>1000家</w:t>
      </w:r>
      <w:r>
        <w:rPr>
          <w:rFonts w:hint="eastAsia" w:ascii="仿宋_GB2312" w:hAnsi="仿宋_GB2312" w:eastAsia="仿宋_GB2312" w:cs="仿宋_GB2312"/>
          <w:szCs w:val="32"/>
        </w:rPr>
        <w:t>以上科创企业能力释放，形成“技术突破—场景验证—产业应用—体系升级”的路径，塑造“天津场景”城市品牌。</w:t>
      </w:r>
    </w:p>
    <w:p>
      <w:pPr>
        <w:pStyle w:val="2"/>
        <w:ind w:firstLine="624" w:firstLineChars="200"/>
        <w:rPr>
          <w:rFonts w:ascii="黑体" w:hAnsi="黑体" w:eastAsia="黑体" w:cs="黑体"/>
          <w:szCs w:val="32"/>
        </w:rPr>
      </w:pPr>
      <w:r>
        <w:rPr>
          <w:rFonts w:hint="eastAsia" w:ascii="黑体" w:hAnsi="黑体" w:eastAsia="黑体" w:cs="黑体"/>
          <w:szCs w:val="32"/>
        </w:rPr>
        <w:t>二、重点领域</w:t>
      </w:r>
    </w:p>
    <w:p>
      <w:pPr>
        <w:pStyle w:val="2"/>
        <w:ind w:firstLine="624" w:firstLineChars="200"/>
        <w:rPr>
          <w:rFonts w:ascii="仿宋_GB2312" w:hAnsi="仿宋_GB2312" w:eastAsia="仿宋_GB2312" w:cs="仿宋_GB2312"/>
          <w:szCs w:val="32"/>
        </w:rPr>
      </w:pPr>
      <w:r>
        <w:rPr>
          <w:rFonts w:hint="eastAsia" w:ascii="楷体_GB2312" w:hAnsi="楷体_GB2312" w:eastAsia="楷体_GB2312" w:cs="楷体_GB2312"/>
          <w:szCs w:val="32"/>
        </w:rPr>
        <w:t>（一）前沿科技创新应用场景。</w:t>
      </w:r>
      <w:r>
        <w:rPr>
          <w:rFonts w:hint="eastAsia" w:ascii="仿宋_GB2312" w:hAnsi="仿宋_GB2312" w:eastAsia="仿宋_GB2312" w:cs="仿宋_GB2312"/>
          <w:szCs w:val="32"/>
        </w:rPr>
        <w:t>聚焦人工智能、生命科学、数字经济、全空间无人体系、清洁能源、海洋开发、机器人等领域，打造一批新领域新赛道应用场景。加强人工智能关键核心技术攻关和推广应用，加快高价值应用场景培育和开放，更好满足科技、产业、消费、民生、治理等各领域发展需要。推动脑机接口从实验室走向医疗康复、生活等领域应用。深入挖掘数据要素潜能，推动实体经济和数字经济深度融合。推动海陆空空间无人体系应用，稳妥有序拓展低空经济、商业航天等领域应用场景。推动清洁能源在公交、环卫、重卡、农机、物流等领域开放应用。推动深海探测、深海开采、深远海养殖、海洋工程装备、海洋电子信息、海洋生物医药等场景培育和开放。推动机器人在生产制造、监测分析、维修维护、仓储物流等各领域应用。</w:t>
      </w:r>
    </w:p>
    <w:p>
      <w:pPr>
        <w:pStyle w:val="2"/>
        <w:ind w:firstLine="624" w:firstLineChars="200"/>
        <w:rPr>
          <w:rFonts w:ascii="仿宋_GB2312" w:hAnsi="仿宋_GB2312" w:eastAsia="仿宋_GB2312" w:cs="仿宋_GB2312"/>
          <w:szCs w:val="32"/>
        </w:rPr>
      </w:pPr>
      <w:r>
        <w:rPr>
          <w:rFonts w:hint="eastAsia" w:ascii="楷体_GB2312" w:hAnsi="楷体_GB2312" w:eastAsia="楷体_GB2312" w:cs="楷体_GB2312"/>
          <w:szCs w:val="32"/>
        </w:rPr>
        <w:t>（二）产业转型升级应用场景。</w:t>
      </w:r>
      <w:r>
        <w:rPr>
          <w:rFonts w:hint="eastAsia" w:ascii="仿宋_GB2312" w:hAnsi="仿宋_GB2312" w:eastAsia="仿宋_GB2312" w:cs="仿宋_GB2312"/>
          <w:szCs w:val="32"/>
        </w:rPr>
        <w:t>聚焦制造业、智能交通、智慧物流、现代农业等领域，建设一批产业转型升级的新业态应用场景。围绕科技创新赋能智能制造、绿色制造、服务型制造、工业生物等核心技术应用，创新柔性生产线、智能工厂、绿色工厂、高标准数字园区、零碳园区等应用场景。创新智能交通管理、车联网等应用场景，优化城市交通结构。加快智慧物流设施建设，积极探索物流新模式与公铁、公水、铁水智慧联运新场景，创新自动驾驶运输、无人装卸、无人配送等应用场景。推动种业应用场景、智慧农业应用场景建设。</w:t>
      </w:r>
    </w:p>
    <w:p>
      <w:pPr>
        <w:pStyle w:val="2"/>
        <w:ind w:firstLine="624" w:firstLineChars="200"/>
        <w:rPr>
          <w:rFonts w:ascii="仿宋_GB2312" w:hAnsi="仿宋_GB2312" w:eastAsia="仿宋_GB2312" w:cs="仿宋_GB2312"/>
          <w:szCs w:val="32"/>
        </w:rPr>
      </w:pPr>
      <w:r>
        <w:rPr>
          <w:rFonts w:hint="eastAsia" w:ascii="楷体_GB2312" w:hAnsi="楷体_GB2312" w:eastAsia="楷体_GB2312" w:cs="楷体_GB2312"/>
          <w:szCs w:val="32"/>
        </w:rPr>
        <w:t>（三）城乡高效治理应用场景。</w:t>
      </w:r>
      <w:r>
        <w:rPr>
          <w:rFonts w:hint="eastAsia" w:ascii="仿宋_GB2312" w:hAnsi="仿宋_GB2312" w:eastAsia="仿宋_GB2312" w:cs="仿宋_GB2312"/>
          <w:szCs w:val="32"/>
        </w:rPr>
        <w:t>聚焦政务服务、智慧城市、乡村建设、应急管理、智慧水利、施工安全等领域，加快开放一批重点应用场景。积极稳妥推进人工智能技术在政务服务领域应用。推进新型城市基础设施建设，创新城市全域数字化转型场景。开放一批和美乡村、数字乡村建设场景，健全基层智慧治理和服务标准体系。聚焦应急救援体系数字化场景，加强智能感知、无人救援、航空救援等技术和装备创新应用。推动水资源智能管理一体化监测感知、水网工程建设管理、水域巡查等应用场景开放。构建智慧工地等应用场景，推动人防技防有机融合。</w:t>
      </w:r>
    </w:p>
    <w:p>
      <w:pPr>
        <w:pStyle w:val="2"/>
        <w:ind w:firstLine="624" w:firstLineChars="200"/>
        <w:rPr>
          <w:rFonts w:ascii="仿宋_GB2312" w:hAnsi="仿宋_GB2312" w:eastAsia="仿宋_GB2312" w:cs="仿宋_GB2312"/>
          <w:szCs w:val="32"/>
        </w:rPr>
      </w:pPr>
      <w:r>
        <w:rPr>
          <w:rFonts w:hint="eastAsia" w:ascii="楷体_GB2312" w:hAnsi="楷体_GB2312" w:eastAsia="楷体_GB2312" w:cs="楷体_GB2312"/>
          <w:szCs w:val="32"/>
        </w:rPr>
        <w:t>（四）智慧民生服务应用场景。</w:t>
      </w:r>
      <w:r>
        <w:rPr>
          <w:rFonts w:hint="eastAsia" w:ascii="仿宋_GB2312" w:hAnsi="仿宋_GB2312" w:eastAsia="仿宋_GB2312" w:cs="仿宋_GB2312"/>
          <w:szCs w:val="32"/>
        </w:rPr>
        <w:t>聚焦医疗卫生、教育融合、智慧照护、文化旅游、消费提质等领域，丰富民生服务应用场景。推动新一代信息技术及医疗机器人等智能设备集成应用，搭建医疗服务、医院运营、医保管理等特色应用场景。推动智能技术与教育全要素融合、全过程贯通。拓展养老、助残、托育等智慧照护服务新场景，加快具身智能、智能穿戴等技术在适老照护、科技助残领域规模化应用。加快数字技术在文旅领域推广应用，做靓大运河、海河文旅、洋楼品鉴、低空观光等特色品牌。支持打造一批文商旅体展跨界融合的消费新场景。</w:t>
      </w:r>
    </w:p>
    <w:p>
      <w:pPr>
        <w:pStyle w:val="2"/>
        <w:ind w:firstLine="624" w:firstLineChars="200"/>
        <w:rPr>
          <w:rFonts w:ascii="仿宋_GB2312" w:hAnsi="仿宋_GB2312" w:eastAsia="仿宋_GB2312" w:cs="仿宋_GB2312"/>
          <w:szCs w:val="32"/>
        </w:rPr>
      </w:pPr>
      <w:r>
        <w:rPr>
          <w:rFonts w:hint="eastAsia" w:ascii="楷体_GB2312" w:hAnsi="楷体_GB2312" w:eastAsia="楷体_GB2312" w:cs="楷体_GB2312"/>
          <w:szCs w:val="32"/>
        </w:rPr>
        <w:t>（五）京津冀区域协同应用场景。</w:t>
      </w:r>
      <w:r>
        <w:rPr>
          <w:rFonts w:hint="eastAsia" w:ascii="仿宋_GB2312" w:hAnsi="仿宋_GB2312" w:eastAsia="仿宋_GB2312" w:cs="仿宋_GB2312"/>
          <w:szCs w:val="32"/>
        </w:rPr>
        <w:t>聚焦产业协同、智慧港口等领域，打造跨区域综合性应用场景。加大京津冀地区应用场景开放力度，围绕人工智能、生物医药等重点领域，开展产业关键技术产品、配套基础设施、产业协同机制等系统性验证，打造京津冀协同应用场景。探索实施天津港智慧港口超级场景，积极推进天津港—马驹桥自动驾驶零碳货运典型场景建设，进一步丰富场景创新内涵。</w:t>
      </w:r>
    </w:p>
    <w:p>
      <w:pPr>
        <w:pStyle w:val="2"/>
        <w:ind w:firstLine="624" w:firstLineChars="200"/>
        <w:rPr>
          <w:rFonts w:ascii="黑体" w:hAnsi="黑体" w:eastAsia="黑体" w:cs="黑体"/>
          <w:szCs w:val="32"/>
        </w:rPr>
      </w:pPr>
      <w:r>
        <w:rPr>
          <w:rFonts w:hint="eastAsia" w:ascii="黑体" w:hAnsi="黑体" w:eastAsia="黑体" w:cs="黑体"/>
          <w:szCs w:val="32"/>
        </w:rPr>
        <w:t>三、工作环节</w:t>
      </w:r>
    </w:p>
    <w:p>
      <w:pPr>
        <w:pStyle w:val="2"/>
        <w:ind w:firstLine="624" w:firstLineChars="200"/>
        <w:rPr>
          <w:rFonts w:ascii="仿宋_GB2312" w:hAnsi="仿宋_GB2312" w:eastAsia="仿宋_GB2312" w:cs="仿宋_GB2312"/>
          <w:szCs w:val="32"/>
        </w:rPr>
      </w:pPr>
      <w:r>
        <w:rPr>
          <w:rFonts w:hint="eastAsia" w:ascii="楷体_GB2312" w:hAnsi="楷体_GB2312" w:eastAsia="楷体_GB2312" w:cs="楷体_GB2312"/>
          <w:szCs w:val="32"/>
        </w:rPr>
        <w:t>（一）场景挖掘征集。</w:t>
      </w:r>
      <w:r>
        <w:rPr>
          <w:rFonts w:hint="eastAsia" w:ascii="仿宋_GB2312" w:hAnsi="仿宋_GB2312" w:eastAsia="仿宋_GB2312" w:cs="仿宋_GB2312"/>
          <w:szCs w:val="32"/>
        </w:rPr>
        <w:t>各区、各部门要深入挖掘场景资源，系统梳理本区域、本领域不同主体的场景机会和场景能力清单。推动机关事业单位、驻津央企、国有企业等主动开放主责主业领域内有落地可行性、资源吸附性、复制推广前景、典型引领和迭代升级作用的场景机会。支持科研院所、高校、民营企业等主动发掘市场需求，积极研究技术引领性强、产业带动效益突出的新技术、新产品，持续探索拓展新场景。支持市场化机构开展场景策划挖掘。支持将场景创新和应用纳入重大项目前期论证和规划设计环节。</w:t>
      </w:r>
    </w:p>
    <w:p>
      <w:pPr>
        <w:pStyle w:val="2"/>
        <w:ind w:firstLine="624" w:firstLineChars="200"/>
        <w:rPr>
          <w:rFonts w:ascii="仿宋_GB2312" w:hAnsi="仿宋_GB2312" w:eastAsia="仿宋_GB2312" w:cs="仿宋_GB2312"/>
          <w:szCs w:val="32"/>
        </w:rPr>
      </w:pPr>
      <w:r>
        <w:rPr>
          <w:rFonts w:hint="eastAsia" w:ascii="楷体_GB2312" w:hAnsi="楷体_GB2312" w:eastAsia="楷体_GB2312" w:cs="楷体_GB2312"/>
          <w:szCs w:val="32"/>
        </w:rPr>
        <w:t>（二）场景设计发布。</w:t>
      </w:r>
      <w:r>
        <w:rPr>
          <w:rFonts w:hint="eastAsia" w:ascii="仿宋_GB2312" w:hAnsi="仿宋_GB2312" w:eastAsia="仿宋_GB2312" w:cs="仿宋_GB2312"/>
          <w:szCs w:val="32"/>
        </w:rPr>
        <w:t>市发展改革委要搭建市级场景创新服务平台，发布场景机会、场景能力、典型场景“三张清单”，组织专家筛选综合性重大场景、特色应用场景、高价值小切口场景，通过多种形式开展场景发布活动。各区、各部门要常态化组织开展场景设计工作，鼓励智库机构、科技服务机构、行业协会等参与场景设计，按照“三张清单”标准统一汇集到市级场景创新服务平台发布备选清单库。</w:t>
      </w:r>
    </w:p>
    <w:p>
      <w:pPr>
        <w:pStyle w:val="2"/>
        <w:ind w:firstLine="624" w:firstLineChars="200"/>
        <w:rPr>
          <w:rFonts w:ascii="仿宋_GB2312" w:hAnsi="仿宋_GB2312" w:eastAsia="仿宋_GB2312" w:cs="仿宋_GB2312"/>
          <w:szCs w:val="32"/>
        </w:rPr>
      </w:pPr>
      <w:r>
        <w:rPr>
          <w:rFonts w:hint="eastAsia" w:ascii="楷体_GB2312" w:hAnsi="楷体_GB2312" w:eastAsia="楷体_GB2312" w:cs="楷体_GB2312"/>
          <w:szCs w:val="32"/>
        </w:rPr>
        <w:t>（三）场景对接实施。</w:t>
      </w:r>
      <w:r>
        <w:rPr>
          <w:rFonts w:hint="eastAsia" w:ascii="仿宋_GB2312" w:hAnsi="仿宋_GB2312" w:eastAsia="仿宋_GB2312" w:cs="仿宋_GB2312"/>
          <w:szCs w:val="32"/>
        </w:rPr>
        <w:t>市发展改革委要发挥统筹协调作用，整合各方资源，完善多层级、多形式、多渠道的场景供需对接机制，推动跨区域、跨行业、跨领域场景资源整合匹配。各区、各部门要积极开展场景供需对接匹配，强化场景开放协同共享，公平高效配置场景资源。积极发挥市场化机构、社会组织等作用，促进各类主体参与场景对接实施。构建“需求发起—对接撮合—协调跟踪—结果反馈”的服务体系，推动场景供需匹配、落地实施。</w:t>
      </w:r>
    </w:p>
    <w:p>
      <w:pPr>
        <w:pStyle w:val="2"/>
        <w:ind w:firstLine="624" w:firstLineChars="200"/>
        <w:rPr>
          <w:rFonts w:ascii="仿宋_GB2312" w:hAnsi="仿宋_GB2312" w:eastAsia="仿宋_GB2312" w:cs="仿宋_GB2312"/>
          <w:szCs w:val="32"/>
        </w:rPr>
      </w:pPr>
      <w:r>
        <w:rPr>
          <w:rFonts w:hint="eastAsia" w:ascii="楷体_GB2312" w:hAnsi="楷体_GB2312" w:eastAsia="楷体_GB2312" w:cs="楷体_GB2312"/>
          <w:szCs w:val="32"/>
        </w:rPr>
        <w:t>（四）场景验证测试。</w:t>
      </w:r>
      <w:r>
        <w:rPr>
          <w:rFonts w:hint="eastAsia" w:ascii="仿宋_GB2312" w:hAnsi="仿宋_GB2312" w:eastAsia="仿宋_GB2312" w:cs="仿宋_GB2312"/>
          <w:szCs w:val="32"/>
        </w:rPr>
        <w:t>各区、各部门要围绕重点产业领域因地制宜布局建设场景验证中心、科技成果中试平台，为新技术、新产品提供应用验证机会。支持高校、科研院所与企业共建场景实验室，开展前沿技术场景创新试点。充分发挥场景在各类改革试点中验证制度政策、管理规则、监管体系等方面的作用，不断完善相关标准体系，在特定场景下开展监管压力测试，通过场景培育和开放与检验验证，推动健全完善相关制度规定。</w:t>
      </w:r>
    </w:p>
    <w:p>
      <w:pPr>
        <w:pStyle w:val="2"/>
        <w:ind w:firstLine="624" w:firstLineChars="200"/>
        <w:rPr>
          <w:rFonts w:ascii="仿宋_GB2312" w:hAnsi="仿宋_GB2312" w:eastAsia="仿宋_GB2312" w:cs="仿宋_GB2312"/>
          <w:szCs w:val="32"/>
        </w:rPr>
      </w:pPr>
      <w:r>
        <w:rPr>
          <w:rFonts w:hint="eastAsia" w:ascii="楷体_GB2312" w:hAnsi="楷体_GB2312" w:eastAsia="楷体_GB2312" w:cs="楷体_GB2312"/>
          <w:szCs w:val="32"/>
        </w:rPr>
        <w:t>（五）场景宣传推广。</w:t>
      </w:r>
      <w:r>
        <w:rPr>
          <w:rFonts w:hint="eastAsia" w:ascii="仿宋_GB2312" w:hAnsi="仿宋_GB2312" w:eastAsia="仿宋_GB2312" w:cs="仿宋_GB2312"/>
          <w:szCs w:val="32"/>
        </w:rPr>
        <w:t>各区、各部门要聚焦新技术、新产品应用，积极申报国家层面综合性重大场景，推动天津特色的行业领域集成式场景建设；各区要结合产业基础和发展禀赋，开放区级特色高价值小切口场景。市发展改革委每年遴选一批典型场景，通过新闻媒体开展全方位、多视角宣传报道，面向社会推广引领价值。</w:t>
      </w:r>
    </w:p>
    <w:p>
      <w:pPr>
        <w:pStyle w:val="2"/>
        <w:ind w:firstLine="624" w:firstLineChars="200"/>
        <w:rPr>
          <w:rFonts w:ascii="黑体" w:hAnsi="黑体" w:eastAsia="黑体" w:cs="黑体"/>
          <w:szCs w:val="32"/>
        </w:rPr>
      </w:pPr>
      <w:r>
        <w:rPr>
          <w:rFonts w:hint="eastAsia" w:ascii="黑体" w:hAnsi="黑体" w:eastAsia="黑体" w:cs="黑体"/>
          <w:szCs w:val="32"/>
        </w:rPr>
        <w:t>四、保障措施</w:t>
      </w:r>
    </w:p>
    <w:p>
      <w:pPr>
        <w:pStyle w:val="2"/>
        <w:ind w:firstLine="624" w:firstLineChars="200"/>
        <w:rPr>
          <w:rFonts w:ascii="仿宋_GB2312" w:hAnsi="仿宋_GB2312" w:eastAsia="仿宋_GB2312" w:cs="仿宋_GB2312"/>
          <w:szCs w:val="32"/>
        </w:rPr>
      </w:pPr>
      <w:r>
        <w:rPr>
          <w:rFonts w:hint="eastAsia" w:ascii="楷体_GB2312" w:hAnsi="楷体_GB2312" w:eastAsia="楷体_GB2312" w:cs="楷体_GB2312"/>
          <w:szCs w:val="32"/>
        </w:rPr>
        <w:t>（一）加强组织推动。</w:t>
      </w:r>
      <w:r>
        <w:rPr>
          <w:rFonts w:hint="eastAsia" w:ascii="仿宋_GB2312" w:hAnsi="仿宋_GB2312" w:eastAsia="仿宋_GB2312" w:cs="仿宋_GB2312"/>
          <w:szCs w:val="32"/>
        </w:rPr>
        <w:t>建立全市场景创新和应用工作协调推进机制，由市政府分管领导同志牵头推动落实，市发展改革委要统筹日常运行，做好资源整合、政策培训、经验推广、综合评价等工作。各部门要强化场景意识，承担本行业领域场景开放、供需对接、项目落地全链条责任，积极探索创新监管制度，推动各类经营主体场景资源应开放尽开放。各区要全力组织推动场景创新和应用工作，统筹盘活区域资源，因地制宜培育场景项目，积极开展场景供需对接匹配，共同打造辨识度高、影响力广的“天津场景”城市品牌。</w:t>
      </w:r>
    </w:p>
    <w:p>
      <w:pPr>
        <w:pStyle w:val="2"/>
        <w:ind w:firstLine="624" w:firstLineChars="200"/>
        <w:rPr>
          <w:rFonts w:ascii="仿宋_GB2312" w:hAnsi="仿宋_GB2312" w:eastAsia="仿宋_GB2312" w:cs="仿宋_GB2312"/>
          <w:szCs w:val="32"/>
        </w:rPr>
      </w:pPr>
      <w:r>
        <w:rPr>
          <w:rFonts w:hint="eastAsia" w:ascii="楷体_GB2312" w:hAnsi="楷体_GB2312" w:eastAsia="楷体_GB2312" w:cs="楷体_GB2312"/>
          <w:szCs w:val="32"/>
        </w:rPr>
        <w:t>（二）发挥政府引导作用。</w:t>
      </w:r>
      <w:r>
        <w:rPr>
          <w:rFonts w:hint="eastAsia" w:ascii="仿宋_GB2312" w:hAnsi="仿宋_GB2312" w:eastAsia="仿宋_GB2312" w:cs="仿宋_GB2312"/>
          <w:szCs w:val="32"/>
        </w:rPr>
        <w:t>坚持以改革创新办法推进场景培育和开放，优化市场准入环境，加强要素创新配置，发挥政府在重大项目、重大活动中的牵引作用，引导支持各类主体公平参与场景建设。在政府投资项目中预留一定比例支持场景创新。项目审批部门要对场景项目的立项给予服务支持。统筹中央和市级财政性资金，对符合条件的综合性重大场景、特色应用场景配套基础设施给予支持，用好制造业高质量发展专项资金、服务业专项资金等，同步推进“软建设”。</w:t>
      </w:r>
    </w:p>
    <w:p>
      <w:pPr>
        <w:pStyle w:val="2"/>
        <w:ind w:firstLine="624" w:firstLineChars="200"/>
        <w:rPr>
          <w:rFonts w:ascii="仿宋_GB2312" w:hAnsi="仿宋_GB2312" w:eastAsia="仿宋_GB2312" w:cs="仿宋_GB2312"/>
          <w:szCs w:val="32"/>
        </w:rPr>
      </w:pPr>
      <w:r>
        <w:rPr>
          <w:rFonts w:hint="eastAsia" w:ascii="楷体_GB2312" w:hAnsi="楷体_GB2312" w:eastAsia="楷体_GB2312" w:cs="楷体_GB2312"/>
          <w:szCs w:val="32"/>
        </w:rPr>
        <w:t>（三）加强政策协同配合。</w:t>
      </w:r>
      <w:r>
        <w:rPr>
          <w:rFonts w:hint="eastAsia" w:ascii="仿宋_GB2312" w:hAnsi="仿宋_GB2312" w:eastAsia="仿宋_GB2312" w:cs="仿宋_GB2312"/>
          <w:szCs w:val="32"/>
        </w:rPr>
        <w:t>各部门要持续完善场景创新和应用工作举措，将支持场景培育和开放与制定产业、科技、人才等各类政策相结合，推动各类规划编制与场景创新和应用相衔接，实现场景建设与重点规划、重大项目同谋划同实施。支持场景搭建单位依法依规采用单一来源采购、订购首购等方式，实施首台（套）、首批次、首版次等政策。健全公平竞争制度，完善场景创新和应用标准。</w:t>
      </w:r>
    </w:p>
    <w:p>
      <w:pPr>
        <w:pStyle w:val="2"/>
        <w:ind w:firstLine="624" w:firstLineChars="200"/>
        <w:rPr>
          <w:rFonts w:ascii="仿宋_GB2312" w:hAnsi="仿宋_GB2312" w:eastAsia="仿宋_GB2312" w:cs="仿宋_GB2312"/>
          <w:szCs w:val="32"/>
        </w:rPr>
      </w:pPr>
      <w:r>
        <w:rPr>
          <w:rFonts w:hint="eastAsia" w:ascii="楷体_GB2312" w:hAnsi="楷体_GB2312" w:eastAsia="楷体_GB2312" w:cs="楷体_GB2312"/>
          <w:szCs w:val="32"/>
        </w:rPr>
        <w:t>（四）强化金融服务支撑。</w:t>
      </w:r>
      <w:r>
        <w:rPr>
          <w:rFonts w:hint="eastAsia" w:ascii="仿宋_GB2312" w:hAnsi="仿宋_GB2312" w:eastAsia="仿宋_GB2312" w:cs="仿宋_GB2312"/>
          <w:szCs w:val="32"/>
        </w:rPr>
        <w:t>鼓励银行、保险、担保、基金等金融机构聚焦场景金融需求，持续加大产品与服务创新力度。建立风险补偿、保险补偿、耐心资本联动机制，引导社会资本投早、投小、投长期、投硬科技。</w:t>
      </w:r>
    </w:p>
    <w:p>
      <w:pPr>
        <w:pStyle w:val="2"/>
        <w:ind w:firstLine="624" w:firstLineChars="200"/>
        <w:rPr>
          <w:rFonts w:ascii="仿宋_GB2312" w:hAnsi="仿宋_GB2312" w:eastAsia="仿宋_GB2312" w:cs="仿宋_GB2312"/>
          <w:szCs w:val="32"/>
        </w:rPr>
      </w:pPr>
      <w:r>
        <w:rPr>
          <w:rFonts w:hint="eastAsia" w:ascii="楷体_GB2312" w:hAnsi="楷体_GB2312" w:eastAsia="楷体_GB2312" w:cs="楷体_GB2312"/>
          <w:szCs w:val="32"/>
        </w:rPr>
        <w:t>（五）营造包容创新发展环境。</w:t>
      </w:r>
      <w:r>
        <w:rPr>
          <w:rFonts w:hint="eastAsia" w:ascii="仿宋_GB2312" w:hAnsi="仿宋_GB2312" w:eastAsia="仿宋_GB2312" w:cs="仿宋_GB2312"/>
          <w:szCs w:val="32"/>
        </w:rPr>
        <w:t>健全安全管理制度，完善风险管控措施，推动安全有序发展。强化标准规范，建立完善评价体系，确保场景创新的科学性、适用性、实效性。探索尽职免责管理模式，鼓励先行先试。健全信用支撑机制，在场景准入、政策兑现等环节对信用良好主体推行绿色通道、实行容缺受理，减材料、压时限、提效率，加速场景项目落地，营造支持场景、鼓励创新、宽容失败的良好环境。</w:t>
      </w:r>
    </w:p>
    <w:p>
      <w:pPr>
        <w:pStyle w:val="2"/>
        <w:ind w:firstLine="624" w:firstLineChars="200"/>
        <w:rPr>
          <w:rFonts w:ascii="仿宋_GB2312" w:hAnsi="仿宋_GB2312" w:eastAsia="仿宋_GB2312" w:cs="仿宋_GB2312"/>
          <w:szCs w:val="32"/>
        </w:rPr>
      </w:pPr>
    </w:p>
    <w:p>
      <w:pPr>
        <w:pStyle w:val="2"/>
        <w:ind w:firstLine="624" w:firstLineChars="200"/>
        <w:rPr>
          <w:rFonts w:ascii="仿宋_GB2312" w:hAnsi="仿宋_GB2312" w:eastAsia="仿宋_GB2312" w:cs="仿宋_GB2312"/>
          <w:szCs w:val="32"/>
        </w:rPr>
        <w:sectPr>
          <w:pgSz w:w="11907" w:h="16840"/>
          <w:pgMar w:top="2098" w:right="1474" w:bottom="1985" w:left="1588" w:header="851" w:footer="1701" w:gutter="0"/>
          <w:cols w:space="720" w:num="1"/>
          <w:docGrid w:type="linesAndChars" w:linePitch="289" w:charSpace="-1839"/>
        </w:sectPr>
      </w:pPr>
      <w:r>
        <w:rPr>
          <w:rFonts w:hint="eastAsia" w:ascii="仿宋_GB2312" w:hAnsi="仿宋_GB2312" w:eastAsia="仿宋_GB2312" w:cs="仿宋_GB2312"/>
          <w:szCs w:val="32"/>
        </w:rPr>
        <w:t>附件：天津市场景创新和应用重点领域细化清单（</w:t>
      </w:r>
      <w:r>
        <w:rPr>
          <w:rFonts w:hint="eastAsia" w:eastAsia="仿宋_GB2312" w:cs="仿宋_GB2312"/>
          <w:szCs w:val="32"/>
        </w:rPr>
        <w:t>2026</w:t>
      </w:r>
      <w:r>
        <w:rPr>
          <w:rFonts w:hint="eastAsia" w:ascii="仿宋_GB2312" w:hAnsi="仿宋_GB2312" w:eastAsia="仿宋_GB2312" w:cs="仿宋_GB2312"/>
          <w:szCs w:val="32"/>
        </w:rPr>
        <w:t>版）</w:t>
      </w:r>
    </w:p>
    <w:p>
      <w:pPr>
        <w:pStyle w:val="2"/>
        <w:rPr>
          <w:rFonts w:ascii="黑体" w:hAnsi="黑体" w:eastAsia="黑体" w:cs="黑体"/>
          <w:szCs w:val="32"/>
        </w:rPr>
      </w:pPr>
      <w:r>
        <w:rPr>
          <w:rFonts w:hint="eastAsia" w:ascii="黑体" w:hAnsi="黑体" w:eastAsia="黑体" w:cs="黑体"/>
          <w:szCs w:val="32"/>
        </w:rPr>
        <w:t>附件</w:t>
      </w:r>
    </w:p>
    <w:p>
      <w:pPr>
        <w:pStyle w:val="2"/>
        <w:rPr>
          <w:rFonts w:ascii="黑体" w:hAnsi="黑体" w:eastAsia="黑体" w:cs="黑体"/>
          <w:szCs w:val="32"/>
        </w:rPr>
      </w:pPr>
    </w:p>
    <w:p>
      <w:pPr>
        <w:pStyle w:val="2"/>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天津市场景创新和应用重点领域细化清单（</w:t>
      </w:r>
      <w:r>
        <w:rPr>
          <w:rFonts w:eastAsia="方正小标宋简体"/>
          <w:sz w:val="44"/>
          <w:szCs w:val="44"/>
        </w:rPr>
        <w:t>2026</w:t>
      </w:r>
      <w:r>
        <w:rPr>
          <w:rFonts w:hint="eastAsia" w:ascii="方正小标宋简体" w:hAnsi="方正小标宋简体" w:eastAsia="方正小标宋简体" w:cs="方正小标宋简体"/>
          <w:sz w:val="44"/>
          <w:szCs w:val="44"/>
        </w:rPr>
        <w:t>版）</w:t>
      </w:r>
    </w:p>
    <w:p>
      <w:pPr>
        <w:pStyle w:val="2"/>
        <w:ind w:firstLine="624" w:firstLineChars="200"/>
        <w:rPr>
          <w:rFonts w:ascii="仿宋_GB2312" w:hAnsi="仿宋_GB2312" w:eastAsia="仿宋_GB2312" w:cs="仿宋_GB2312"/>
          <w:szCs w:val="32"/>
        </w:rPr>
      </w:pPr>
    </w:p>
    <w:tbl>
      <w:tblPr>
        <w:tblStyle w:val="7"/>
        <w:tblW w:w="129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0"/>
        <w:gridCol w:w="1405"/>
        <w:gridCol w:w="7296"/>
        <w:gridCol w:w="2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1470" w:type="dxa"/>
            <w:vAlign w:val="center"/>
          </w:tcPr>
          <w:p>
            <w:pPr>
              <w:pStyle w:val="2"/>
              <w:snapToGrid w:val="0"/>
              <w:jc w:val="center"/>
              <w:rPr>
                <w:rFonts w:ascii="黑体" w:hAnsi="黑体" w:eastAsia="黑体" w:cs="黑体"/>
                <w:sz w:val="28"/>
                <w:szCs w:val="28"/>
              </w:rPr>
            </w:pPr>
            <w:r>
              <w:rPr>
                <w:rFonts w:hint="eastAsia" w:ascii="黑体" w:hAnsi="黑体" w:eastAsia="黑体" w:cs="黑体"/>
                <w:sz w:val="28"/>
                <w:szCs w:val="28"/>
              </w:rPr>
              <w:t>场景类型</w:t>
            </w:r>
          </w:p>
        </w:tc>
        <w:tc>
          <w:tcPr>
            <w:tcW w:w="1405" w:type="dxa"/>
            <w:vAlign w:val="center"/>
          </w:tcPr>
          <w:p>
            <w:pPr>
              <w:pStyle w:val="2"/>
              <w:snapToGrid w:val="0"/>
              <w:jc w:val="center"/>
              <w:rPr>
                <w:rFonts w:ascii="黑体" w:hAnsi="黑体" w:eastAsia="黑体" w:cs="黑体"/>
                <w:sz w:val="28"/>
                <w:szCs w:val="28"/>
              </w:rPr>
            </w:pPr>
            <w:r>
              <w:rPr>
                <w:rFonts w:hint="eastAsia" w:ascii="黑体" w:hAnsi="黑体" w:eastAsia="黑体" w:cs="黑体"/>
                <w:sz w:val="28"/>
                <w:szCs w:val="28"/>
              </w:rPr>
              <w:t>重点领域</w:t>
            </w:r>
          </w:p>
        </w:tc>
        <w:tc>
          <w:tcPr>
            <w:tcW w:w="7296" w:type="dxa"/>
            <w:vAlign w:val="center"/>
          </w:tcPr>
          <w:p>
            <w:pPr>
              <w:pStyle w:val="2"/>
              <w:snapToGrid w:val="0"/>
              <w:jc w:val="center"/>
              <w:rPr>
                <w:rFonts w:ascii="黑体" w:hAnsi="黑体" w:eastAsia="黑体" w:cs="黑体"/>
                <w:sz w:val="28"/>
                <w:szCs w:val="28"/>
              </w:rPr>
            </w:pPr>
            <w:r>
              <w:rPr>
                <w:rFonts w:hint="eastAsia" w:ascii="黑体" w:hAnsi="黑体" w:eastAsia="黑体" w:cs="黑体"/>
                <w:sz w:val="28"/>
                <w:szCs w:val="28"/>
              </w:rPr>
              <w:t>场景内容</w:t>
            </w:r>
          </w:p>
        </w:tc>
        <w:tc>
          <w:tcPr>
            <w:tcW w:w="2828" w:type="dxa"/>
            <w:vAlign w:val="center"/>
          </w:tcPr>
          <w:p>
            <w:pPr>
              <w:pStyle w:val="2"/>
              <w:snapToGrid w:val="0"/>
              <w:jc w:val="center"/>
              <w:rPr>
                <w:rFonts w:ascii="黑体" w:hAnsi="黑体" w:eastAsia="黑体" w:cs="黑体"/>
                <w:sz w:val="28"/>
                <w:szCs w:val="28"/>
              </w:rPr>
            </w:pPr>
            <w:r>
              <w:rPr>
                <w:rFonts w:hint="eastAsia" w:ascii="黑体" w:hAnsi="黑体" w:eastAsia="黑体" w:cs="黑体"/>
                <w:sz w:val="28"/>
                <w:szCs w:val="28"/>
              </w:rPr>
              <w:t>责任单位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5" w:hRule="atLeast"/>
        </w:trPr>
        <w:tc>
          <w:tcPr>
            <w:tcW w:w="1470" w:type="dxa"/>
            <w:vMerge w:val="restart"/>
            <w:vAlign w:val="center"/>
          </w:tcPr>
          <w:p>
            <w:pPr>
              <w:pStyle w:val="2"/>
              <w:snapToGrid w:val="0"/>
              <w:jc w:val="center"/>
              <w:rPr>
                <w:rFonts w:ascii="仿宋_GB2312" w:hAnsi="仿宋_GB2312" w:eastAsia="仿宋_GB2312" w:cs="仿宋_GB2312"/>
                <w:sz w:val="24"/>
              </w:rPr>
            </w:pPr>
            <w:r>
              <w:rPr>
                <w:rFonts w:hint="eastAsia" w:ascii="仿宋_GB2312" w:hAnsi="仿宋_GB2312" w:eastAsia="仿宋_GB2312" w:cs="仿宋_GB2312"/>
                <w:sz w:val="24"/>
              </w:rPr>
              <w:t>前沿科技创新应用场景</w:t>
            </w:r>
          </w:p>
        </w:tc>
        <w:tc>
          <w:tcPr>
            <w:tcW w:w="1405" w:type="dxa"/>
            <w:vAlign w:val="center"/>
          </w:tcPr>
          <w:p>
            <w:pPr>
              <w:pStyle w:val="2"/>
              <w:snapToGrid w:val="0"/>
              <w:jc w:val="center"/>
              <w:rPr>
                <w:rFonts w:ascii="仿宋_GB2312" w:hAnsi="仿宋_GB2312" w:eastAsia="仿宋_GB2312" w:cs="仿宋_GB2312"/>
                <w:sz w:val="24"/>
              </w:rPr>
            </w:pPr>
            <w:r>
              <w:rPr>
                <w:rFonts w:hint="eastAsia" w:ascii="仿宋_GB2312" w:hAnsi="仿宋_GB2312" w:eastAsia="仿宋_GB2312" w:cs="仿宋_GB2312"/>
                <w:sz w:val="24"/>
              </w:rPr>
              <w:t>人工智能</w:t>
            </w:r>
          </w:p>
        </w:tc>
        <w:tc>
          <w:tcPr>
            <w:tcW w:w="7296"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推动未来技术跨界融合应用，启动人工智能科技重大专项</w:t>
            </w:r>
            <w:r>
              <w:rPr>
                <w:rFonts w:hint="eastAsia" w:ascii="黑体" w:hAnsi="黑体" w:eastAsia="黑体" w:cs="黑体"/>
                <w:sz w:val="24"/>
              </w:rPr>
              <w:t>——</w:t>
            </w:r>
            <w:r>
              <w:rPr>
                <w:rFonts w:hint="eastAsia" w:ascii="仿宋_GB2312" w:hAnsi="仿宋_GB2312" w:eastAsia="仿宋_GB2312" w:cs="仿宋_GB2312"/>
                <w:sz w:val="24"/>
              </w:rPr>
              <w:t>“</w:t>
            </w:r>
            <w:r>
              <w:rPr>
                <w:rFonts w:hint="eastAsia" w:eastAsia="仿宋_GB2312" w:cs="仿宋_GB2312"/>
                <w:sz w:val="24"/>
              </w:rPr>
              <w:t>AI</w:t>
            </w:r>
            <w:r>
              <w:rPr>
                <w:rFonts w:hint="eastAsia" w:ascii="仿宋_GB2312" w:hAnsi="仿宋_GB2312" w:eastAsia="仿宋_GB2312" w:cs="仿宋_GB2312"/>
                <w:sz w:val="24"/>
              </w:rPr>
              <w:t>+应用场景”，创造新的应用场景和消费需求，以先行试验助力未来技术转化和产品开发。面向制造、交通、文旅等领域转型升级需要，加强关键核心技术攻关和推广应用，打造一批人工智能应用场景。用好人工智能产业基金，支持人工智能大模型、智能算法、</w:t>
            </w:r>
            <w:r>
              <w:rPr>
                <w:rFonts w:hint="eastAsia" w:eastAsia="仿宋_GB2312" w:cs="仿宋_GB2312"/>
                <w:sz w:val="24"/>
              </w:rPr>
              <w:t>AI</w:t>
            </w:r>
            <w:r>
              <w:rPr>
                <w:rFonts w:hint="eastAsia" w:ascii="仿宋_GB2312" w:hAnsi="仿宋_GB2312" w:eastAsia="仿宋_GB2312" w:cs="仿宋_GB2312"/>
                <w:sz w:val="24"/>
              </w:rPr>
              <w:t>应用等前沿技术研发和产业化落地。</w:t>
            </w:r>
          </w:p>
        </w:tc>
        <w:tc>
          <w:tcPr>
            <w:tcW w:w="2828"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市工业和信息化局、市科技局、市发展改革委、市交通运输委、市文化和旅游局等部门，各区人民政府按职责分工负责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2" w:hRule="atLeast"/>
        </w:trPr>
        <w:tc>
          <w:tcPr>
            <w:tcW w:w="1470" w:type="dxa"/>
            <w:vMerge w:val="continue"/>
            <w:vAlign w:val="center"/>
          </w:tcPr>
          <w:p>
            <w:pPr>
              <w:pStyle w:val="2"/>
              <w:snapToGrid w:val="0"/>
              <w:jc w:val="center"/>
              <w:rPr>
                <w:rFonts w:ascii="仿宋_GB2312" w:hAnsi="仿宋_GB2312" w:eastAsia="仿宋_GB2312" w:cs="仿宋_GB2312"/>
                <w:sz w:val="24"/>
              </w:rPr>
            </w:pPr>
          </w:p>
        </w:tc>
        <w:tc>
          <w:tcPr>
            <w:tcW w:w="1405" w:type="dxa"/>
            <w:vAlign w:val="center"/>
          </w:tcPr>
          <w:p>
            <w:pPr>
              <w:pStyle w:val="2"/>
              <w:snapToGrid w:val="0"/>
              <w:jc w:val="center"/>
              <w:rPr>
                <w:rFonts w:ascii="仿宋_GB2312" w:hAnsi="仿宋_GB2312" w:eastAsia="仿宋_GB2312" w:cs="仿宋_GB2312"/>
                <w:sz w:val="24"/>
              </w:rPr>
            </w:pPr>
            <w:r>
              <w:rPr>
                <w:rFonts w:hint="eastAsia" w:ascii="仿宋_GB2312" w:hAnsi="仿宋_GB2312" w:eastAsia="仿宋_GB2312" w:cs="仿宋_GB2312"/>
                <w:sz w:val="24"/>
              </w:rPr>
              <w:t>生命科学</w:t>
            </w:r>
          </w:p>
        </w:tc>
        <w:tc>
          <w:tcPr>
            <w:tcW w:w="7296"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抢占脑机接口等前沿赛道，推动传染病监测预警等大模型落地部署，推进</w:t>
            </w:r>
            <w:r>
              <w:rPr>
                <w:rFonts w:hint="eastAsia" w:eastAsia="仿宋_GB2312" w:cs="仿宋_GB2312"/>
                <w:sz w:val="24"/>
              </w:rPr>
              <w:t>AI</w:t>
            </w:r>
            <w:r>
              <w:rPr>
                <w:rFonts w:hint="eastAsia" w:ascii="仿宋_GB2312" w:hAnsi="仿宋_GB2312" w:eastAsia="仿宋_GB2312" w:cs="仿宋_GB2312"/>
                <w:sz w:val="24"/>
              </w:rPr>
              <w:t>赋能药物研发、高效催化剂研发等科技首用场景。打造医疗健康领域大模型研发与应用场景，推动脑机接口从实验室走向生活应用。围绕脑机接口、“</w:t>
            </w:r>
            <w:r>
              <w:rPr>
                <w:rFonts w:hint="eastAsia" w:eastAsia="仿宋_GB2312" w:cs="仿宋_GB2312"/>
                <w:sz w:val="24"/>
              </w:rPr>
              <w:t>AI</w:t>
            </w:r>
            <w:r>
              <w:rPr>
                <w:rFonts w:hint="eastAsia" w:ascii="仿宋_GB2312" w:hAnsi="仿宋_GB2312" w:eastAsia="仿宋_GB2312" w:cs="仿宋_GB2312"/>
                <w:sz w:val="24"/>
              </w:rPr>
              <w:t>+药物研发”等重点方向，支持创新主体开展核心技术攻关，持续拓展科研应用场景。</w:t>
            </w:r>
          </w:p>
        </w:tc>
        <w:tc>
          <w:tcPr>
            <w:tcW w:w="2828"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市科技局、市卫生健康委、市发展改革委等部门，各区人民政府按职责分工负责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7" w:hRule="atLeast"/>
        </w:trPr>
        <w:tc>
          <w:tcPr>
            <w:tcW w:w="1470" w:type="dxa"/>
            <w:vMerge w:val="continue"/>
            <w:vAlign w:val="center"/>
          </w:tcPr>
          <w:p>
            <w:pPr>
              <w:pStyle w:val="2"/>
              <w:snapToGrid w:val="0"/>
              <w:jc w:val="center"/>
              <w:rPr>
                <w:rFonts w:ascii="仿宋_GB2312" w:hAnsi="仿宋_GB2312" w:eastAsia="仿宋_GB2312" w:cs="仿宋_GB2312"/>
                <w:sz w:val="24"/>
              </w:rPr>
            </w:pPr>
          </w:p>
        </w:tc>
        <w:tc>
          <w:tcPr>
            <w:tcW w:w="1405" w:type="dxa"/>
            <w:vAlign w:val="center"/>
          </w:tcPr>
          <w:p>
            <w:pPr>
              <w:pStyle w:val="2"/>
              <w:snapToGrid w:val="0"/>
              <w:jc w:val="center"/>
              <w:rPr>
                <w:rFonts w:ascii="仿宋_GB2312" w:hAnsi="仿宋_GB2312" w:eastAsia="仿宋_GB2312" w:cs="仿宋_GB2312"/>
                <w:sz w:val="24"/>
              </w:rPr>
            </w:pPr>
            <w:r>
              <w:rPr>
                <w:rFonts w:hint="eastAsia" w:ascii="仿宋_GB2312" w:hAnsi="仿宋_GB2312" w:eastAsia="仿宋_GB2312" w:cs="仿宋_GB2312"/>
                <w:sz w:val="24"/>
              </w:rPr>
              <w:t>数字经济</w:t>
            </w:r>
          </w:p>
        </w:tc>
        <w:tc>
          <w:tcPr>
            <w:tcW w:w="7296"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深入挖掘数据要素潜能，支持数据分析挖掘、流通使用、安全防护等领域技术创新，丰富数据产品和服务供给，在办公、社交、消费、娱乐等领域探索应用元宇宙、虚拟现实、智能算力、机器人等技术创新应用场景，积极推动依托前置仓的平台自营即时零售发展，推动实体经济和数字经济深度融合。</w:t>
            </w:r>
          </w:p>
        </w:tc>
        <w:tc>
          <w:tcPr>
            <w:tcW w:w="2828"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市数据局、市工业和信息化局、市商务局、市发展改革委等部门，各区人民政府按职责分工负责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4" w:hRule="atLeast"/>
        </w:trPr>
        <w:tc>
          <w:tcPr>
            <w:tcW w:w="1470" w:type="dxa"/>
            <w:vMerge w:val="restart"/>
            <w:vAlign w:val="center"/>
          </w:tcPr>
          <w:p>
            <w:pPr>
              <w:pStyle w:val="2"/>
              <w:snapToGrid w:val="0"/>
              <w:jc w:val="center"/>
              <w:rPr>
                <w:rFonts w:ascii="仿宋_GB2312" w:hAnsi="仿宋_GB2312" w:eastAsia="仿宋_GB2312" w:cs="仿宋_GB2312"/>
                <w:sz w:val="24"/>
              </w:rPr>
            </w:pPr>
            <w:r>
              <w:rPr>
                <w:rFonts w:hint="eastAsia" w:ascii="仿宋_GB2312" w:hAnsi="仿宋_GB2312" w:eastAsia="仿宋_GB2312" w:cs="仿宋_GB2312"/>
                <w:sz w:val="24"/>
              </w:rPr>
              <w:t>前沿科技创新应用场景</w:t>
            </w:r>
          </w:p>
        </w:tc>
        <w:tc>
          <w:tcPr>
            <w:tcW w:w="1405" w:type="dxa"/>
            <w:vAlign w:val="center"/>
          </w:tcPr>
          <w:p>
            <w:pPr>
              <w:pStyle w:val="2"/>
              <w:snapToGrid w:val="0"/>
              <w:jc w:val="center"/>
              <w:rPr>
                <w:rFonts w:ascii="仿宋_GB2312" w:hAnsi="仿宋_GB2312" w:eastAsia="仿宋_GB2312" w:cs="仿宋_GB2312"/>
                <w:sz w:val="24"/>
              </w:rPr>
            </w:pPr>
            <w:r>
              <w:rPr>
                <w:rFonts w:hint="eastAsia" w:ascii="仿宋_GB2312" w:hAnsi="仿宋_GB2312" w:eastAsia="仿宋_GB2312" w:cs="仿宋_GB2312"/>
                <w:sz w:val="24"/>
              </w:rPr>
              <w:t>全空间无人体系</w:t>
            </w:r>
          </w:p>
        </w:tc>
        <w:tc>
          <w:tcPr>
            <w:tcW w:w="7296"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推动海陆空全空间无人体系应用和标准建设，鼓励打造涵盖全空间的文旅、政务、物流、卫星服务等应用场景，拓展工业生产、城市规划建设治理、综合立体交通、公共服务、安全防护、农业生产等无人体系应用场景。推进低空经济和低空空域管理机制及平台建设，做好无人体系应用场景创新，打造“低空+应急通信、应急救援、应急侦测、自动巡检”等场景，稳妥有序拓展低空经济、商业航天等领域应用场景。</w:t>
            </w:r>
          </w:p>
        </w:tc>
        <w:tc>
          <w:tcPr>
            <w:tcW w:w="2828"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市发展改革委、市工业和信息化局、市科技局、市公安局、市文化和旅游局、市政务服务办、市商务局、市城市管理委、市交通运输委、市农业农村委、市应急管理局等部门，各区人民政府按职责分工负责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0" w:hRule="atLeast"/>
        </w:trPr>
        <w:tc>
          <w:tcPr>
            <w:tcW w:w="1470" w:type="dxa"/>
            <w:vMerge w:val="continue"/>
            <w:vAlign w:val="center"/>
          </w:tcPr>
          <w:p>
            <w:pPr>
              <w:pStyle w:val="2"/>
              <w:snapToGrid w:val="0"/>
              <w:jc w:val="center"/>
              <w:rPr>
                <w:rFonts w:ascii="仿宋_GB2312" w:hAnsi="仿宋_GB2312" w:eastAsia="仿宋_GB2312" w:cs="仿宋_GB2312"/>
                <w:sz w:val="24"/>
              </w:rPr>
            </w:pPr>
          </w:p>
        </w:tc>
        <w:tc>
          <w:tcPr>
            <w:tcW w:w="1405" w:type="dxa"/>
            <w:vAlign w:val="center"/>
          </w:tcPr>
          <w:p>
            <w:pPr>
              <w:pStyle w:val="2"/>
              <w:snapToGrid w:val="0"/>
              <w:jc w:val="center"/>
              <w:rPr>
                <w:rFonts w:ascii="仿宋_GB2312" w:hAnsi="仿宋_GB2312" w:eastAsia="仿宋_GB2312" w:cs="仿宋_GB2312"/>
                <w:sz w:val="24"/>
              </w:rPr>
            </w:pPr>
            <w:r>
              <w:rPr>
                <w:rFonts w:hint="eastAsia" w:ascii="仿宋_GB2312" w:hAnsi="仿宋_GB2312" w:eastAsia="仿宋_GB2312" w:cs="仿宋_GB2312"/>
                <w:sz w:val="24"/>
              </w:rPr>
              <w:t>清洁能源</w:t>
            </w:r>
          </w:p>
        </w:tc>
        <w:tc>
          <w:tcPr>
            <w:tcW w:w="7296"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推动清洁能源在铁路、公交、环卫、重卡、农机、物流等领域开放应用。组织实施绿色低碳科技重大专项，支持开展高比例新能源受端城市电网储能优化配置与运行控制技术攻关，并开展场景应用，推动天津南港</w:t>
            </w:r>
            <w:r>
              <w:rPr>
                <w:rFonts w:hint="eastAsia" w:eastAsia="仿宋_GB2312" w:cs="仿宋_GB2312"/>
                <w:sz w:val="24"/>
              </w:rPr>
              <w:t>LNG</w:t>
            </w:r>
            <w:r>
              <w:rPr>
                <w:rFonts w:hint="eastAsia" w:ascii="仿宋_GB2312" w:hAnsi="仿宋_GB2312" w:eastAsia="仿宋_GB2312" w:cs="仿宋_GB2312"/>
                <w:sz w:val="24"/>
              </w:rPr>
              <w:t>冷能综合利用项目按计划有序实施。布局海上风电制氢、虚拟电厂、智能电网、源网荷储互动、园区与城市实践、</w:t>
            </w:r>
            <w:r>
              <w:rPr>
                <w:rFonts w:hint="eastAsia" w:eastAsia="仿宋_GB2312" w:cs="仿宋_GB2312"/>
                <w:sz w:val="24"/>
              </w:rPr>
              <w:t>AI</w:t>
            </w:r>
            <w:r>
              <w:rPr>
                <w:rFonts w:hint="eastAsia" w:ascii="仿宋_GB2312" w:hAnsi="仿宋_GB2312" w:eastAsia="仿宋_GB2312" w:cs="仿宋_GB2312"/>
                <w:sz w:val="24"/>
              </w:rPr>
              <w:t>智慧能源管理、</w:t>
            </w:r>
            <w:r>
              <w:rPr>
                <w:rFonts w:hint="eastAsia" w:eastAsia="仿宋_GB2312" w:cs="仿宋_GB2312"/>
                <w:sz w:val="24"/>
              </w:rPr>
              <w:t>CCUS</w:t>
            </w:r>
            <w:r>
              <w:rPr>
                <w:rFonts w:hint="eastAsia" w:ascii="仿宋_GB2312" w:hAnsi="仿宋_GB2312" w:eastAsia="仿宋_GB2312" w:cs="仿宋_GB2312"/>
                <w:sz w:val="24"/>
              </w:rPr>
              <w:t>碳捕集利用等绿色场景；支持中新天津生态城打造全域场景创新标杆区。实施南港绿色石化典型场景，构建石化、化工、新材料闭环产业链。推动生物技术广泛应用于新材料、建筑、能源、环保等产业创新场景，重点开放生物基材料替代、生物能源低碳转化、天然产物绿色制备等应用场景。</w:t>
            </w:r>
          </w:p>
        </w:tc>
        <w:tc>
          <w:tcPr>
            <w:tcW w:w="2828"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市发展改革委、市工业和信息化局、市科技局、市生态环境局等部门，各区人民政府按职责分工负责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5" w:hRule="atLeast"/>
        </w:trPr>
        <w:tc>
          <w:tcPr>
            <w:tcW w:w="1470" w:type="dxa"/>
            <w:vMerge w:val="continue"/>
            <w:vAlign w:val="center"/>
          </w:tcPr>
          <w:p>
            <w:pPr>
              <w:pStyle w:val="2"/>
              <w:snapToGrid w:val="0"/>
              <w:jc w:val="center"/>
              <w:rPr>
                <w:rFonts w:ascii="仿宋_GB2312" w:hAnsi="仿宋_GB2312" w:eastAsia="仿宋_GB2312" w:cs="仿宋_GB2312"/>
                <w:sz w:val="24"/>
              </w:rPr>
            </w:pPr>
          </w:p>
        </w:tc>
        <w:tc>
          <w:tcPr>
            <w:tcW w:w="1405" w:type="dxa"/>
            <w:vAlign w:val="center"/>
          </w:tcPr>
          <w:p>
            <w:pPr>
              <w:pStyle w:val="2"/>
              <w:snapToGrid w:val="0"/>
              <w:jc w:val="center"/>
              <w:rPr>
                <w:rFonts w:ascii="仿宋_GB2312" w:hAnsi="仿宋_GB2312" w:eastAsia="仿宋_GB2312" w:cs="仿宋_GB2312"/>
                <w:sz w:val="24"/>
              </w:rPr>
            </w:pPr>
            <w:r>
              <w:rPr>
                <w:rFonts w:hint="eastAsia" w:ascii="仿宋_GB2312" w:hAnsi="仿宋_GB2312" w:eastAsia="仿宋_GB2312" w:cs="仿宋_GB2312"/>
                <w:sz w:val="24"/>
              </w:rPr>
              <w:t>海洋开发</w:t>
            </w:r>
          </w:p>
        </w:tc>
        <w:tc>
          <w:tcPr>
            <w:tcW w:w="7296"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推动深海探测、深海开采、深远海养殖、海洋工程装备、海洋电子信息、海洋生物医药等场景培育和开放。推动智能制造基地等项目建设，培育海洋工程装备领域应用场景。推动海水淡化国家级应用场景建设，强化海洋科技研发创新，促进海洋科技成果转化，为海洋开发应用场景创造有利条件。</w:t>
            </w:r>
          </w:p>
        </w:tc>
        <w:tc>
          <w:tcPr>
            <w:tcW w:w="2828"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市规划资源局、市农业农村委、市工业和信息化局等部门，有关区人民政府按职责分工负责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3" w:hRule="atLeast"/>
        </w:trPr>
        <w:tc>
          <w:tcPr>
            <w:tcW w:w="1470" w:type="dxa"/>
            <w:vAlign w:val="center"/>
          </w:tcPr>
          <w:p>
            <w:pPr>
              <w:pStyle w:val="2"/>
              <w:snapToGrid w:val="0"/>
              <w:jc w:val="center"/>
              <w:rPr>
                <w:rFonts w:ascii="仿宋_GB2312" w:hAnsi="仿宋_GB2312" w:eastAsia="仿宋_GB2312" w:cs="仿宋_GB2312"/>
                <w:sz w:val="24"/>
              </w:rPr>
            </w:pPr>
            <w:r>
              <w:rPr>
                <w:rFonts w:hint="eastAsia" w:ascii="仿宋_GB2312" w:hAnsi="仿宋_GB2312" w:eastAsia="仿宋_GB2312" w:cs="仿宋_GB2312"/>
                <w:sz w:val="24"/>
              </w:rPr>
              <w:t>前沿科技创新应用场景</w:t>
            </w:r>
          </w:p>
        </w:tc>
        <w:tc>
          <w:tcPr>
            <w:tcW w:w="1405" w:type="dxa"/>
            <w:vAlign w:val="center"/>
          </w:tcPr>
          <w:p>
            <w:pPr>
              <w:pStyle w:val="2"/>
              <w:snapToGrid w:val="0"/>
              <w:jc w:val="center"/>
              <w:rPr>
                <w:rFonts w:ascii="仿宋_GB2312" w:hAnsi="仿宋_GB2312" w:eastAsia="仿宋_GB2312" w:cs="仿宋_GB2312"/>
                <w:sz w:val="24"/>
              </w:rPr>
            </w:pPr>
            <w:r>
              <w:rPr>
                <w:rFonts w:hint="eastAsia" w:ascii="仿宋_GB2312" w:hAnsi="仿宋_GB2312" w:eastAsia="仿宋_GB2312" w:cs="仿宋_GB2312"/>
                <w:sz w:val="24"/>
              </w:rPr>
              <w:t>机器人</w:t>
            </w:r>
          </w:p>
        </w:tc>
        <w:tc>
          <w:tcPr>
            <w:tcW w:w="7296"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推动机器人在生产制造、监测分析、维修维护、仓储物流、餐饮零售、医疗康养、安全生产、应急救援、防灾减灾等各领域应用。推进特种防爆机器人、深海探测机器人、电力作业机器人技术攻关和产品研发，开展场景应用。深入推进人形机器人与具身智能实景实训专项行动，建设实景实训空间场景，包括工业场景、服务场景、特种场景，覆盖生产制造、仓储物流、医疗康养、城市运维等重点领域。开展防爆巡检机器人巡检及防爆防火机器人救援应用，依托掌上应急、应急指挥平台打通装备数据闭环，将所有机器人、无人机、卫星遥感数据统一接入应急指挥系统，组建机动无人装备方舱车队，装载多类型机器人、无人机集群，可跨区域机动增援，配套卫星便携终端，满足跨区域应急联动要求。</w:t>
            </w:r>
          </w:p>
        </w:tc>
        <w:tc>
          <w:tcPr>
            <w:tcW w:w="2828"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市工业和信息化局、市科技局、市发展改革委、市商务局、市卫生健康委、市应急管理局等部门，各区人民政府按职责分工负责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7" w:hRule="atLeast"/>
        </w:trPr>
        <w:tc>
          <w:tcPr>
            <w:tcW w:w="1470" w:type="dxa"/>
            <w:vAlign w:val="center"/>
          </w:tcPr>
          <w:p>
            <w:pPr>
              <w:pStyle w:val="2"/>
              <w:snapToGrid w:val="0"/>
              <w:jc w:val="center"/>
              <w:rPr>
                <w:rFonts w:ascii="仿宋_GB2312" w:hAnsi="仿宋_GB2312" w:eastAsia="仿宋_GB2312" w:cs="仿宋_GB2312"/>
                <w:sz w:val="24"/>
              </w:rPr>
            </w:pPr>
            <w:r>
              <w:rPr>
                <w:rFonts w:hint="eastAsia" w:ascii="仿宋_GB2312" w:hAnsi="仿宋_GB2312" w:eastAsia="仿宋_GB2312" w:cs="仿宋_GB2312"/>
                <w:sz w:val="24"/>
              </w:rPr>
              <w:t>产业转型升级应用场景</w:t>
            </w:r>
          </w:p>
        </w:tc>
        <w:tc>
          <w:tcPr>
            <w:tcW w:w="1405" w:type="dxa"/>
            <w:vAlign w:val="center"/>
          </w:tcPr>
          <w:p>
            <w:pPr>
              <w:pStyle w:val="2"/>
              <w:snapToGrid w:val="0"/>
              <w:jc w:val="center"/>
              <w:rPr>
                <w:rFonts w:ascii="仿宋_GB2312" w:hAnsi="仿宋_GB2312" w:eastAsia="仿宋_GB2312" w:cs="仿宋_GB2312"/>
                <w:sz w:val="24"/>
              </w:rPr>
            </w:pPr>
            <w:r>
              <w:rPr>
                <w:rFonts w:hint="eastAsia" w:ascii="仿宋_GB2312" w:hAnsi="仿宋_GB2312" w:eastAsia="仿宋_GB2312" w:cs="仿宋_GB2312"/>
                <w:sz w:val="24"/>
              </w:rPr>
              <w:t>制造业</w:t>
            </w:r>
          </w:p>
        </w:tc>
        <w:tc>
          <w:tcPr>
            <w:tcW w:w="7296"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围绕科技创新赋能智能制造、绿色制造、服务型制造、工业生物、工业智能等核心技术应用，创新柔性生产线、智能工厂、绿色工厂、高标准数字园区、零碳园区等应用场景，培育工业领域垂直大模型、“</w:t>
            </w:r>
            <w:r>
              <w:rPr>
                <w:rFonts w:hint="eastAsia" w:eastAsia="仿宋_GB2312" w:cs="仿宋_GB2312"/>
                <w:sz w:val="24"/>
              </w:rPr>
              <w:t>AI</w:t>
            </w:r>
            <w:r>
              <w:rPr>
                <w:rFonts w:hint="eastAsia" w:ascii="仿宋_GB2312" w:hAnsi="仿宋_GB2312" w:eastAsia="仿宋_GB2312" w:cs="仿宋_GB2312"/>
                <w:sz w:val="24"/>
              </w:rPr>
              <w:t>+制造”典型应用场景。聚焦“</w:t>
            </w:r>
            <w:r>
              <w:rPr>
                <w:rFonts w:hint="eastAsia" w:eastAsia="仿宋_GB2312" w:cs="仿宋_GB2312"/>
                <w:sz w:val="24"/>
              </w:rPr>
              <w:t>AI</w:t>
            </w:r>
            <w:r>
              <w:rPr>
                <w:rFonts w:hint="eastAsia" w:ascii="仿宋_GB2312" w:hAnsi="仿宋_GB2312" w:eastAsia="仿宋_GB2312" w:cs="仿宋_GB2312"/>
                <w:sz w:val="24"/>
              </w:rPr>
              <w:t>+制造”领域，推进智能工厂多模态垂类模型与智能体协同平台研发，开展场景应用。组织重点人工智能攻关项目揭榜挂帅、举办“人工智能+制造”场景供需对接等活动，促进更多应用场景落地；发挥绿色制造单位在制造业绿色低碳转型中的重要作用，强化梯度培育，推动企业绿色低碳发展；引导制造业企业开展共享制造、个性化定制、全生命周期管理等典型模式应用，推动制造业企业向“产品+服务”解决方案提供商转型。</w:t>
            </w:r>
          </w:p>
        </w:tc>
        <w:tc>
          <w:tcPr>
            <w:tcW w:w="2828"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市工业和信息化局、市发展改革委、市科技局等部门，各区人民政府按职责分工负责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8" w:hRule="atLeast"/>
        </w:trPr>
        <w:tc>
          <w:tcPr>
            <w:tcW w:w="1470" w:type="dxa"/>
            <w:vMerge w:val="restart"/>
            <w:vAlign w:val="center"/>
          </w:tcPr>
          <w:p>
            <w:pPr>
              <w:pStyle w:val="2"/>
              <w:snapToGrid w:val="0"/>
              <w:jc w:val="center"/>
              <w:rPr>
                <w:rFonts w:ascii="仿宋_GB2312" w:hAnsi="仿宋_GB2312" w:eastAsia="仿宋_GB2312" w:cs="仿宋_GB2312"/>
                <w:sz w:val="24"/>
              </w:rPr>
            </w:pPr>
            <w:r>
              <w:rPr>
                <w:rFonts w:hint="eastAsia" w:ascii="仿宋_GB2312" w:hAnsi="仿宋_GB2312" w:eastAsia="仿宋_GB2312" w:cs="仿宋_GB2312"/>
                <w:sz w:val="24"/>
              </w:rPr>
              <w:t>产业转型升级应用场景</w:t>
            </w:r>
          </w:p>
        </w:tc>
        <w:tc>
          <w:tcPr>
            <w:tcW w:w="1405" w:type="dxa"/>
            <w:vAlign w:val="center"/>
          </w:tcPr>
          <w:p>
            <w:pPr>
              <w:pStyle w:val="2"/>
              <w:snapToGrid w:val="0"/>
              <w:jc w:val="center"/>
              <w:rPr>
                <w:rFonts w:ascii="仿宋_GB2312" w:hAnsi="仿宋_GB2312" w:eastAsia="仿宋_GB2312" w:cs="仿宋_GB2312"/>
                <w:sz w:val="24"/>
              </w:rPr>
            </w:pPr>
            <w:r>
              <w:rPr>
                <w:rFonts w:hint="eastAsia" w:ascii="仿宋_GB2312" w:hAnsi="仿宋_GB2312" w:eastAsia="仿宋_GB2312" w:cs="仿宋_GB2312"/>
                <w:sz w:val="24"/>
              </w:rPr>
              <w:t>智能交通</w:t>
            </w:r>
          </w:p>
        </w:tc>
        <w:tc>
          <w:tcPr>
            <w:tcW w:w="7296"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以人工智能等新技术为支撑，创新智能交通管理、智能调度、智能网联等应用场景，通过“</w:t>
            </w:r>
            <w:r>
              <w:rPr>
                <w:rFonts w:hint="eastAsia" w:eastAsia="仿宋_GB2312" w:cs="仿宋_GB2312"/>
                <w:sz w:val="24"/>
              </w:rPr>
              <w:t>AI</w:t>
            </w:r>
            <w:r>
              <w:rPr>
                <w:rFonts w:hint="eastAsia" w:ascii="仿宋_GB2312" w:hAnsi="仿宋_GB2312" w:eastAsia="仿宋_GB2312" w:cs="仿宋_GB2312"/>
                <w:sz w:val="24"/>
              </w:rPr>
              <w:t>+交通”行动，有序开放路测环境，推进相关配套设施建设，支持智能网联汽车在多场景开展试验应用，推动轨道交通、港口、电力等领域场景创新升级。推进人工智能技术赋能轨道交通应急气象决策等业务，通过全自动全周期网格化精准气象监测，提升调度指挥处置效率。</w:t>
            </w:r>
          </w:p>
        </w:tc>
        <w:tc>
          <w:tcPr>
            <w:tcW w:w="2828"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市交通运输委、市发展改革委、市工业和信息化局、市国资委等部门，各区人民政府按职责分工负责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5" w:hRule="atLeast"/>
        </w:trPr>
        <w:tc>
          <w:tcPr>
            <w:tcW w:w="1470" w:type="dxa"/>
            <w:vMerge w:val="continue"/>
            <w:vAlign w:val="center"/>
          </w:tcPr>
          <w:p>
            <w:pPr>
              <w:pStyle w:val="2"/>
              <w:snapToGrid w:val="0"/>
              <w:jc w:val="center"/>
              <w:rPr>
                <w:rFonts w:ascii="仿宋_GB2312" w:hAnsi="仿宋_GB2312" w:eastAsia="仿宋_GB2312" w:cs="仿宋_GB2312"/>
                <w:sz w:val="24"/>
              </w:rPr>
            </w:pPr>
          </w:p>
        </w:tc>
        <w:tc>
          <w:tcPr>
            <w:tcW w:w="1405" w:type="dxa"/>
            <w:vAlign w:val="center"/>
          </w:tcPr>
          <w:p>
            <w:pPr>
              <w:pStyle w:val="2"/>
              <w:snapToGrid w:val="0"/>
              <w:jc w:val="center"/>
              <w:rPr>
                <w:rFonts w:ascii="仿宋_GB2312" w:hAnsi="仿宋_GB2312" w:eastAsia="仿宋_GB2312" w:cs="仿宋_GB2312"/>
                <w:sz w:val="24"/>
              </w:rPr>
            </w:pPr>
            <w:r>
              <w:rPr>
                <w:rFonts w:hint="eastAsia" w:ascii="仿宋_GB2312" w:hAnsi="仿宋_GB2312" w:eastAsia="仿宋_GB2312" w:cs="仿宋_GB2312"/>
                <w:sz w:val="24"/>
              </w:rPr>
              <w:t>智慧物流</w:t>
            </w:r>
          </w:p>
        </w:tc>
        <w:tc>
          <w:tcPr>
            <w:tcW w:w="7296"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加快智慧公路、智慧港航、智慧物流枢纽、智慧物流设施建设，积极探索物流新模式与公铁、公水、铁水智慧联运新场景。联动港口智慧物流发展，持续深化场景创新实践。创新自动驾驶运输、无人装卸、无人配送、智慧仓储等应用场景。加快推动无人快递车试点工作，深化“轨道+邮政快递”融合发展。</w:t>
            </w:r>
          </w:p>
        </w:tc>
        <w:tc>
          <w:tcPr>
            <w:tcW w:w="2828"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市发展改革委、市工业和信息化局、市交通运输委、市商务局、市国资委等部门，各区人民政府按职责分工负责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1" w:hRule="atLeast"/>
        </w:trPr>
        <w:tc>
          <w:tcPr>
            <w:tcW w:w="1470" w:type="dxa"/>
            <w:vMerge w:val="continue"/>
            <w:vAlign w:val="center"/>
          </w:tcPr>
          <w:p>
            <w:pPr>
              <w:pStyle w:val="2"/>
              <w:snapToGrid w:val="0"/>
              <w:jc w:val="center"/>
              <w:rPr>
                <w:rFonts w:ascii="仿宋_GB2312" w:hAnsi="仿宋_GB2312" w:eastAsia="仿宋_GB2312" w:cs="仿宋_GB2312"/>
                <w:sz w:val="24"/>
              </w:rPr>
            </w:pPr>
          </w:p>
        </w:tc>
        <w:tc>
          <w:tcPr>
            <w:tcW w:w="1405" w:type="dxa"/>
            <w:vAlign w:val="center"/>
          </w:tcPr>
          <w:p>
            <w:pPr>
              <w:pStyle w:val="2"/>
              <w:snapToGrid w:val="0"/>
              <w:jc w:val="center"/>
              <w:rPr>
                <w:rFonts w:ascii="仿宋_GB2312" w:hAnsi="仿宋_GB2312" w:eastAsia="仿宋_GB2312" w:cs="仿宋_GB2312"/>
                <w:sz w:val="24"/>
              </w:rPr>
            </w:pPr>
            <w:r>
              <w:rPr>
                <w:rFonts w:hint="eastAsia" w:ascii="仿宋_GB2312" w:hAnsi="仿宋_GB2312" w:eastAsia="仿宋_GB2312" w:cs="仿宋_GB2312"/>
                <w:sz w:val="24"/>
              </w:rPr>
              <w:t>现代农业</w:t>
            </w:r>
          </w:p>
        </w:tc>
        <w:tc>
          <w:tcPr>
            <w:tcW w:w="7296"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加快种业应用场景建设，加强设计育种、生物育种等科学技术支撑引领，推出育种、制繁种、扩繁等一批数字化应用场景，提升动植物育种水平。推出智慧农（牧、渔）场等一批智慧农业应用场景，创新种业、种养殖、食品加工全产业链应用场景，围绕饲料、养殖、流通、供应链金融等领域推动畜牧业、渔业数字化转型赋能。</w:t>
            </w:r>
          </w:p>
        </w:tc>
        <w:tc>
          <w:tcPr>
            <w:tcW w:w="2828"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市农业农村委、市商务局等部门，有关区人民政府按职责分工负责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0" w:hRule="atLeast"/>
        </w:trPr>
        <w:tc>
          <w:tcPr>
            <w:tcW w:w="1470" w:type="dxa"/>
            <w:vAlign w:val="center"/>
          </w:tcPr>
          <w:p>
            <w:pPr>
              <w:pStyle w:val="2"/>
              <w:snapToGrid w:val="0"/>
              <w:jc w:val="center"/>
              <w:rPr>
                <w:rFonts w:ascii="仿宋_GB2312" w:hAnsi="仿宋_GB2312" w:eastAsia="仿宋_GB2312" w:cs="仿宋_GB2312"/>
                <w:sz w:val="24"/>
              </w:rPr>
            </w:pPr>
            <w:r>
              <w:rPr>
                <w:rFonts w:hint="eastAsia" w:ascii="仿宋_GB2312" w:hAnsi="仿宋_GB2312" w:eastAsia="仿宋_GB2312" w:cs="仿宋_GB2312"/>
                <w:sz w:val="24"/>
              </w:rPr>
              <w:t>城乡高效治理应用场景</w:t>
            </w:r>
          </w:p>
        </w:tc>
        <w:tc>
          <w:tcPr>
            <w:tcW w:w="1405" w:type="dxa"/>
            <w:vAlign w:val="center"/>
          </w:tcPr>
          <w:p>
            <w:pPr>
              <w:pStyle w:val="2"/>
              <w:snapToGrid w:val="0"/>
              <w:jc w:val="center"/>
              <w:rPr>
                <w:rFonts w:ascii="仿宋_GB2312" w:hAnsi="仿宋_GB2312" w:eastAsia="仿宋_GB2312" w:cs="仿宋_GB2312"/>
                <w:sz w:val="24"/>
              </w:rPr>
            </w:pPr>
            <w:r>
              <w:rPr>
                <w:rFonts w:hint="eastAsia" w:ascii="仿宋_GB2312" w:hAnsi="仿宋_GB2312" w:eastAsia="仿宋_GB2312" w:cs="仿宋_GB2312"/>
                <w:sz w:val="24"/>
              </w:rPr>
              <w:t>政务服务</w:t>
            </w:r>
          </w:p>
        </w:tc>
        <w:tc>
          <w:tcPr>
            <w:tcW w:w="7296"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积极稳妥推进人工智能技术在政务服务领域应用，探索智能问答、辅助办理等场景。探索高校毕业生、新就业形态劳动者、农民工等群体就业公共服务场景。优化政务服务智能中枢平台，完善智能问题、预填、预审功能，推动政务服务由“能办”向“好办”转变。</w:t>
            </w:r>
          </w:p>
        </w:tc>
        <w:tc>
          <w:tcPr>
            <w:tcW w:w="2828"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市政务服务办、市人社局等部门，各区人民政府按职责分工负责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7" w:hRule="atLeast"/>
        </w:trPr>
        <w:tc>
          <w:tcPr>
            <w:tcW w:w="1470" w:type="dxa"/>
            <w:vMerge w:val="restart"/>
            <w:vAlign w:val="center"/>
          </w:tcPr>
          <w:p>
            <w:pPr>
              <w:pStyle w:val="2"/>
              <w:snapToGrid w:val="0"/>
              <w:jc w:val="center"/>
              <w:rPr>
                <w:rFonts w:ascii="仿宋_GB2312" w:hAnsi="仿宋_GB2312" w:eastAsia="仿宋_GB2312" w:cs="仿宋_GB2312"/>
                <w:sz w:val="24"/>
              </w:rPr>
            </w:pPr>
            <w:r>
              <w:rPr>
                <w:rFonts w:hint="eastAsia" w:ascii="仿宋_GB2312" w:hAnsi="仿宋_GB2312" w:eastAsia="仿宋_GB2312" w:cs="仿宋_GB2312"/>
                <w:sz w:val="24"/>
              </w:rPr>
              <w:t>城乡高效治理应用场景</w:t>
            </w:r>
          </w:p>
        </w:tc>
        <w:tc>
          <w:tcPr>
            <w:tcW w:w="1405" w:type="dxa"/>
            <w:vAlign w:val="center"/>
          </w:tcPr>
          <w:p>
            <w:pPr>
              <w:pStyle w:val="2"/>
              <w:snapToGrid w:val="0"/>
              <w:jc w:val="center"/>
              <w:rPr>
                <w:rFonts w:ascii="仿宋_GB2312" w:hAnsi="仿宋_GB2312" w:eastAsia="仿宋_GB2312" w:cs="仿宋_GB2312"/>
                <w:sz w:val="24"/>
              </w:rPr>
            </w:pPr>
            <w:r>
              <w:rPr>
                <w:rFonts w:hint="eastAsia" w:ascii="仿宋_GB2312" w:hAnsi="仿宋_GB2312" w:eastAsia="仿宋_GB2312" w:cs="仿宋_GB2312"/>
                <w:sz w:val="24"/>
              </w:rPr>
              <w:t>智慧城市</w:t>
            </w:r>
          </w:p>
        </w:tc>
        <w:tc>
          <w:tcPr>
            <w:tcW w:w="7296"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围绕智慧社区、市政交通、城市智能中枢、城市运行管理等，推进新型城市基础设施建设，创新城市全域数字化转型场景。推进大模型技术、数字人技术、智能客服技术在城市治安管理、人力资源服务、家居服务、危化品智慧监管、市政管护等方面的应用。围绕“</w:t>
            </w:r>
            <w:r>
              <w:rPr>
                <w:rFonts w:hint="eastAsia" w:eastAsia="仿宋_GB2312" w:cs="仿宋_GB2312"/>
                <w:sz w:val="24"/>
              </w:rPr>
              <w:t>117</w:t>
            </w:r>
            <w:r>
              <w:rPr>
                <w:rFonts w:hint="eastAsia" w:ascii="仿宋_GB2312" w:hAnsi="仿宋_GB2312" w:eastAsia="仿宋_GB2312" w:cs="仿宋_GB2312"/>
                <w:sz w:val="24"/>
              </w:rPr>
              <w:t>项目”等超高层建筑群特性，探索实施超高超大建筑群智能安防管控典型场景。深化住建行业数据精细化治理，加强工程建设项目图上安全监管。加强人工智能、机器人等新技术在危化品智慧监管方面的应用，梳理培育事故现场危化品快速识别、智能化装备与主动预警等“</w:t>
            </w:r>
            <w:r>
              <w:rPr>
                <w:rFonts w:hint="eastAsia" w:eastAsia="仿宋_GB2312" w:cs="仿宋_GB2312"/>
                <w:sz w:val="24"/>
              </w:rPr>
              <w:t>AI</w:t>
            </w:r>
            <w:r>
              <w:rPr>
                <w:rFonts w:hint="eastAsia" w:ascii="仿宋_GB2312" w:hAnsi="仿宋_GB2312" w:eastAsia="仿宋_GB2312" w:cs="仿宋_GB2312"/>
                <w:sz w:val="24"/>
              </w:rPr>
              <w:t>+危化品”智慧场景。</w:t>
            </w:r>
          </w:p>
        </w:tc>
        <w:tc>
          <w:tcPr>
            <w:tcW w:w="2828"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市城市管理委、市公安局、市应急管理局、市人社局、市住房城乡建设委、市数据局等部门，各区人民政府按职责分工负责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1470" w:type="dxa"/>
            <w:vMerge w:val="continue"/>
            <w:vAlign w:val="center"/>
          </w:tcPr>
          <w:p>
            <w:pPr>
              <w:pStyle w:val="2"/>
              <w:snapToGrid w:val="0"/>
              <w:jc w:val="center"/>
              <w:rPr>
                <w:rFonts w:ascii="仿宋_GB2312" w:hAnsi="仿宋_GB2312" w:eastAsia="仿宋_GB2312" w:cs="仿宋_GB2312"/>
                <w:sz w:val="24"/>
              </w:rPr>
            </w:pPr>
          </w:p>
        </w:tc>
        <w:tc>
          <w:tcPr>
            <w:tcW w:w="1405" w:type="dxa"/>
            <w:vAlign w:val="center"/>
          </w:tcPr>
          <w:p>
            <w:pPr>
              <w:pStyle w:val="2"/>
              <w:snapToGrid w:val="0"/>
              <w:jc w:val="center"/>
              <w:rPr>
                <w:rFonts w:ascii="仿宋_GB2312" w:hAnsi="仿宋_GB2312" w:eastAsia="仿宋_GB2312" w:cs="仿宋_GB2312"/>
                <w:sz w:val="24"/>
              </w:rPr>
            </w:pPr>
            <w:r>
              <w:rPr>
                <w:rFonts w:hint="eastAsia" w:ascii="仿宋_GB2312" w:hAnsi="仿宋_GB2312" w:eastAsia="仿宋_GB2312" w:cs="仿宋_GB2312"/>
                <w:sz w:val="24"/>
              </w:rPr>
              <w:t>乡村建设</w:t>
            </w:r>
          </w:p>
        </w:tc>
        <w:tc>
          <w:tcPr>
            <w:tcW w:w="7296"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开放一批和美乡村、数字乡村建设场景，健全基层智慧治理和服务标准体系。</w:t>
            </w:r>
          </w:p>
        </w:tc>
        <w:tc>
          <w:tcPr>
            <w:tcW w:w="2828"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市农业农村委、市委网信办等部门，有关区人民政府按职责分工负责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0" w:hRule="atLeast"/>
        </w:trPr>
        <w:tc>
          <w:tcPr>
            <w:tcW w:w="1470" w:type="dxa"/>
            <w:vMerge w:val="continue"/>
            <w:vAlign w:val="center"/>
          </w:tcPr>
          <w:p>
            <w:pPr>
              <w:pStyle w:val="2"/>
              <w:snapToGrid w:val="0"/>
              <w:jc w:val="center"/>
              <w:rPr>
                <w:rFonts w:ascii="仿宋_GB2312" w:hAnsi="仿宋_GB2312" w:eastAsia="仿宋_GB2312" w:cs="仿宋_GB2312"/>
                <w:sz w:val="24"/>
              </w:rPr>
            </w:pPr>
          </w:p>
        </w:tc>
        <w:tc>
          <w:tcPr>
            <w:tcW w:w="1405" w:type="dxa"/>
            <w:vAlign w:val="center"/>
          </w:tcPr>
          <w:p>
            <w:pPr>
              <w:pStyle w:val="2"/>
              <w:snapToGrid w:val="0"/>
              <w:jc w:val="center"/>
              <w:rPr>
                <w:rFonts w:ascii="仿宋_GB2312" w:hAnsi="仿宋_GB2312" w:eastAsia="仿宋_GB2312" w:cs="仿宋_GB2312"/>
                <w:sz w:val="24"/>
              </w:rPr>
            </w:pPr>
            <w:r>
              <w:rPr>
                <w:rFonts w:hint="eastAsia" w:ascii="仿宋_GB2312" w:hAnsi="仿宋_GB2312" w:eastAsia="仿宋_GB2312" w:cs="仿宋_GB2312"/>
                <w:sz w:val="24"/>
              </w:rPr>
              <w:t>应急管理</w:t>
            </w:r>
          </w:p>
        </w:tc>
        <w:tc>
          <w:tcPr>
            <w:tcW w:w="7296"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聚焦应急救援体系数字化场景，加强智能感知、无人救援、航空救援等技术和装备创新应用，提升灾害智能监测预警、应急指挥通信、抢险救援、应急物资供应能力。推进危化品智慧监管、智能危险作业、机器视觉安全监控、无人设备城市巡查等场景建设。突出人工智能、机器人等新技术应用，确立“辅助异常信息识别”、“风险研判”、“方案生成”和“复盘学习”</w:t>
            </w:r>
            <w:r>
              <w:rPr>
                <w:rFonts w:hint="eastAsia" w:eastAsia="仿宋_GB2312" w:cs="仿宋_GB2312"/>
                <w:sz w:val="24"/>
              </w:rPr>
              <w:t>4</w:t>
            </w:r>
            <w:r>
              <w:rPr>
                <w:rFonts w:hint="eastAsia" w:ascii="仿宋_GB2312" w:hAnsi="仿宋_GB2312" w:eastAsia="仿宋_GB2312" w:cs="仿宋_GB2312"/>
                <w:sz w:val="24"/>
              </w:rPr>
              <w:t>个“人工智能+应急管理”领域方向的</w:t>
            </w:r>
            <w:r>
              <w:rPr>
                <w:rFonts w:hint="eastAsia" w:eastAsia="仿宋_GB2312" w:cs="仿宋_GB2312"/>
                <w:sz w:val="24"/>
              </w:rPr>
              <w:t>9</w:t>
            </w:r>
            <w:r>
              <w:rPr>
                <w:rFonts w:hint="eastAsia" w:ascii="仿宋_GB2312" w:hAnsi="仿宋_GB2312" w:eastAsia="仿宋_GB2312" w:cs="仿宋_GB2312"/>
                <w:sz w:val="24"/>
              </w:rPr>
              <w:t>个应用场景。</w:t>
            </w:r>
          </w:p>
        </w:tc>
        <w:tc>
          <w:tcPr>
            <w:tcW w:w="2828"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市应急管理局等部门，各区人民政府按职责分工负责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1470" w:type="dxa"/>
            <w:vMerge w:val="continue"/>
            <w:vAlign w:val="center"/>
          </w:tcPr>
          <w:p>
            <w:pPr>
              <w:pStyle w:val="2"/>
              <w:snapToGrid w:val="0"/>
              <w:jc w:val="center"/>
              <w:rPr>
                <w:rFonts w:ascii="仿宋_GB2312" w:hAnsi="仿宋_GB2312" w:eastAsia="仿宋_GB2312" w:cs="仿宋_GB2312"/>
                <w:sz w:val="24"/>
              </w:rPr>
            </w:pPr>
          </w:p>
        </w:tc>
        <w:tc>
          <w:tcPr>
            <w:tcW w:w="1405" w:type="dxa"/>
            <w:vAlign w:val="center"/>
          </w:tcPr>
          <w:p>
            <w:pPr>
              <w:pStyle w:val="2"/>
              <w:snapToGrid w:val="0"/>
              <w:jc w:val="center"/>
              <w:rPr>
                <w:rFonts w:ascii="仿宋_GB2312" w:hAnsi="仿宋_GB2312" w:eastAsia="仿宋_GB2312" w:cs="仿宋_GB2312"/>
                <w:sz w:val="24"/>
              </w:rPr>
            </w:pPr>
            <w:r>
              <w:rPr>
                <w:rFonts w:hint="eastAsia" w:ascii="仿宋_GB2312" w:hAnsi="仿宋_GB2312" w:eastAsia="仿宋_GB2312" w:cs="仿宋_GB2312"/>
                <w:sz w:val="24"/>
              </w:rPr>
              <w:t>智慧水利</w:t>
            </w:r>
          </w:p>
        </w:tc>
        <w:tc>
          <w:tcPr>
            <w:tcW w:w="7296"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推动水资源智能管理一体化监测感知、水网工程建设管理、水域巡查等应用场景开放。探索利用信息化技术建立水域范围模型，完善水位等自动检测设施。</w:t>
            </w:r>
          </w:p>
        </w:tc>
        <w:tc>
          <w:tcPr>
            <w:tcW w:w="2828"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市水务局等部门，各区人民政府按职责分工负责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70" w:type="dxa"/>
            <w:vAlign w:val="center"/>
          </w:tcPr>
          <w:p>
            <w:pPr>
              <w:pStyle w:val="2"/>
              <w:snapToGrid w:val="0"/>
              <w:jc w:val="center"/>
              <w:rPr>
                <w:rFonts w:ascii="仿宋_GB2312" w:hAnsi="仿宋_GB2312" w:eastAsia="仿宋_GB2312" w:cs="仿宋_GB2312"/>
                <w:sz w:val="24"/>
              </w:rPr>
            </w:pPr>
            <w:r>
              <w:rPr>
                <w:rFonts w:hint="eastAsia" w:ascii="仿宋_GB2312" w:hAnsi="仿宋_GB2312" w:eastAsia="仿宋_GB2312" w:cs="仿宋_GB2312"/>
                <w:sz w:val="24"/>
              </w:rPr>
              <w:t>城乡高效治理应用场景</w:t>
            </w:r>
          </w:p>
        </w:tc>
        <w:tc>
          <w:tcPr>
            <w:tcW w:w="1405" w:type="dxa"/>
            <w:vAlign w:val="center"/>
          </w:tcPr>
          <w:p>
            <w:pPr>
              <w:pStyle w:val="2"/>
              <w:snapToGrid w:val="0"/>
              <w:jc w:val="center"/>
              <w:rPr>
                <w:rFonts w:ascii="仿宋_GB2312" w:hAnsi="仿宋_GB2312" w:eastAsia="仿宋_GB2312" w:cs="仿宋_GB2312"/>
                <w:sz w:val="24"/>
              </w:rPr>
            </w:pPr>
            <w:r>
              <w:rPr>
                <w:rFonts w:hint="eastAsia" w:ascii="仿宋_GB2312" w:hAnsi="仿宋_GB2312" w:eastAsia="仿宋_GB2312" w:cs="仿宋_GB2312"/>
                <w:sz w:val="24"/>
              </w:rPr>
              <w:t>施工安全</w:t>
            </w:r>
          </w:p>
        </w:tc>
        <w:tc>
          <w:tcPr>
            <w:tcW w:w="7296"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集成智能风险预警、无人设备自主巡检、高危作业替代、智能监控等技术，构建智慧工地、施工动态数字孪生模型等应用场景，强化安全隐患动态识别与智能处置能力，推动人防技防有机融合。研究推动打通共享智慧工地数据和政府监管数据，增强安全隐患判断响应能力。聚焦危化高危场景，推广防爆特种巡检机器人，替代人工开展隐患排查、气体监测、违章抓拍等高危作业，补齐巡检盲区。同步推动机器人巡检数据接入安全风险管控平台，实现智能预警、闭环管控。</w:t>
            </w:r>
          </w:p>
        </w:tc>
        <w:tc>
          <w:tcPr>
            <w:tcW w:w="2828"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市住房城乡建设委、市城市管理委、市应急管理局等部门，各区人民政府按职责分工负责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70" w:type="dxa"/>
            <w:vMerge w:val="restart"/>
            <w:vAlign w:val="center"/>
          </w:tcPr>
          <w:p>
            <w:pPr>
              <w:pStyle w:val="2"/>
              <w:snapToGrid w:val="0"/>
              <w:jc w:val="center"/>
              <w:rPr>
                <w:rFonts w:ascii="仿宋_GB2312" w:hAnsi="仿宋_GB2312" w:eastAsia="仿宋_GB2312" w:cs="仿宋_GB2312"/>
                <w:sz w:val="24"/>
              </w:rPr>
            </w:pPr>
            <w:r>
              <w:rPr>
                <w:rFonts w:hint="eastAsia" w:ascii="仿宋_GB2312" w:hAnsi="仿宋_GB2312" w:eastAsia="仿宋_GB2312" w:cs="仿宋_GB2312"/>
                <w:sz w:val="24"/>
              </w:rPr>
              <w:t>智慧民生服务应用场景</w:t>
            </w:r>
          </w:p>
          <w:p>
            <w:pPr>
              <w:pStyle w:val="2"/>
              <w:snapToGrid w:val="0"/>
              <w:jc w:val="center"/>
              <w:rPr>
                <w:rFonts w:ascii="仿宋_GB2312" w:hAnsi="仿宋_GB2312" w:eastAsia="仿宋_GB2312" w:cs="仿宋_GB2312"/>
                <w:sz w:val="24"/>
              </w:rPr>
            </w:pPr>
          </w:p>
        </w:tc>
        <w:tc>
          <w:tcPr>
            <w:tcW w:w="1405" w:type="dxa"/>
            <w:vAlign w:val="center"/>
          </w:tcPr>
          <w:p>
            <w:pPr>
              <w:pStyle w:val="2"/>
              <w:snapToGrid w:val="0"/>
              <w:jc w:val="center"/>
              <w:rPr>
                <w:rFonts w:ascii="仿宋_GB2312" w:hAnsi="仿宋_GB2312" w:eastAsia="仿宋_GB2312" w:cs="仿宋_GB2312"/>
                <w:sz w:val="24"/>
              </w:rPr>
            </w:pPr>
            <w:r>
              <w:rPr>
                <w:rFonts w:hint="eastAsia" w:ascii="仿宋_GB2312" w:hAnsi="仿宋_GB2312" w:eastAsia="仿宋_GB2312" w:cs="仿宋_GB2312"/>
                <w:sz w:val="24"/>
              </w:rPr>
              <w:t>医疗卫生</w:t>
            </w:r>
          </w:p>
        </w:tc>
        <w:tc>
          <w:tcPr>
            <w:tcW w:w="7296"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推动新一代信息技术及医疗机器人等智能设备集成应用，搭建医疗服务、医院运营、医保管理等“</w:t>
            </w:r>
            <w:r>
              <w:rPr>
                <w:rFonts w:hint="eastAsia" w:eastAsia="仿宋_GB2312" w:cs="仿宋_GB2312"/>
                <w:sz w:val="24"/>
              </w:rPr>
              <w:t>AI</w:t>
            </w:r>
            <w:r>
              <w:rPr>
                <w:rFonts w:hint="eastAsia" w:ascii="仿宋_GB2312" w:hAnsi="仿宋_GB2312" w:eastAsia="仿宋_GB2312" w:cs="仿宋_GB2312"/>
                <w:sz w:val="24"/>
              </w:rPr>
              <w:t>+”特色应用场景。实施医疗医药技术进步、便民服务优化、管理体制创新、跨领域协同增效、医保综合价值评价等创新场景。支持健康咨询、问诊指引、辅助诊断、远程医疗、用药审核等医疗场景应用。</w:t>
            </w:r>
          </w:p>
        </w:tc>
        <w:tc>
          <w:tcPr>
            <w:tcW w:w="2828"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市卫生健康委、市医保局等部门，各区人民政府按职责分工负责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70" w:type="dxa"/>
            <w:vMerge w:val="continue"/>
            <w:vAlign w:val="center"/>
          </w:tcPr>
          <w:p>
            <w:pPr>
              <w:pStyle w:val="2"/>
              <w:snapToGrid w:val="0"/>
              <w:jc w:val="center"/>
              <w:rPr>
                <w:rFonts w:ascii="仿宋_GB2312" w:hAnsi="仿宋_GB2312" w:eastAsia="仿宋_GB2312" w:cs="仿宋_GB2312"/>
                <w:sz w:val="24"/>
              </w:rPr>
            </w:pPr>
          </w:p>
        </w:tc>
        <w:tc>
          <w:tcPr>
            <w:tcW w:w="1405" w:type="dxa"/>
            <w:vAlign w:val="center"/>
          </w:tcPr>
          <w:p>
            <w:pPr>
              <w:pStyle w:val="2"/>
              <w:snapToGrid w:val="0"/>
              <w:jc w:val="center"/>
              <w:rPr>
                <w:rFonts w:ascii="仿宋_GB2312" w:hAnsi="仿宋_GB2312" w:eastAsia="仿宋_GB2312" w:cs="仿宋_GB2312"/>
                <w:sz w:val="24"/>
              </w:rPr>
            </w:pPr>
            <w:r>
              <w:rPr>
                <w:rFonts w:hint="eastAsia" w:ascii="仿宋_GB2312" w:hAnsi="仿宋_GB2312" w:eastAsia="仿宋_GB2312" w:cs="仿宋_GB2312"/>
                <w:sz w:val="24"/>
              </w:rPr>
              <w:t>教育融合</w:t>
            </w:r>
          </w:p>
        </w:tc>
        <w:tc>
          <w:tcPr>
            <w:tcW w:w="7296"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推动智能技术与教育全要素融合、全过程贯通，强化技能提升、科学育儿、意外急救、消费维权、就业与再就业教育、安全和应急教育与公共服务教育深度融合，培育智慧助学助教、个性化自适应学习、家校协同育人等场景，加快构建人机协同、泛在可及的智慧教育新形态。推进智能助教系统与人机协同智慧课堂建设，促进</w:t>
            </w:r>
            <w:r>
              <w:rPr>
                <w:rFonts w:hint="eastAsia" w:eastAsia="仿宋_GB2312" w:cs="仿宋_GB2312"/>
                <w:sz w:val="24"/>
              </w:rPr>
              <w:t>AI</w:t>
            </w:r>
            <w:r>
              <w:rPr>
                <w:rFonts w:hint="eastAsia" w:ascii="仿宋_GB2312" w:hAnsi="仿宋_GB2312" w:eastAsia="仿宋_GB2312" w:cs="仿宋_GB2312"/>
                <w:sz w:val="24"/>
              </w:rPr>
              <w:t>技术与基础教育、职业教育、终身公共服务教育各细分领域深度融合。以打造覆盖“教、学、研、管、评”全场景的智慧教育体系为目标，推动智慧校园建设。</w:t>
            </w:r>
          </w:p>
        </w:tc>
        <w:tc>
          <w:tcPr>
            <w:tcW w:w="2828"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市教委、市人社局、市卫生健康委、市市场监管委、市应急管理局等部门，各区人民政府按职责分工负责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70" w:type="dxa"/>
            <w:vMerge w:val="continue"/>
            <w:vAlign w:val="center"/>
          </w:tcPr>
          <w:p>
            <w:pPr>
              <w:pStyle w:val="2"/>
              <w:snapToGrid w:val="0"/>
              <w:jc w:val="center"/>
              <w:rPr>
                <w:rFonts w:ascii="仿宋_GB2312" w:hAnsi="仿宋_GB2312" w:eastAsia="仿宋_GB2312" w:cs="仿宋_GB2312"/>
                <w:sz w:val="24"/>
              </w:rPr>
            </w:pPr>
          </w:p>
        </w:tc>
        <w:tc>
          <w:tcPr>
            <w:tcW w:w="1405" w:type="dxa"/>
            <w:vAlign w:val="center"/>
          </w:tcPr>
          <w:p>
            <w:pPr>
              <w:pStyle w:val="2"/>
              <w:snapToGrid w:val="0"/>
              <w:jc w:val="center"/>
              <w:rPr>
                <w:rFonts w:ascii="仿宋_GB2312" w:hAnsi="仿宋_GB2312" w:eastAsia="仿宋_GB2312" w:cs="仿宋_GB2312"/>
                <w:sz w:val="24"/>
              </w:rPr>
            </w:pPr>
            <w:r>
              <w:rPr>
                <w:rFonts w:hint="eastAsia" w:ascii="仿宋_GB2312" w:hAnsi="仿宋_GB2312" w:eastAsia="仿宋_GB2312" w:cs="仿宋_GB2312"/>
                <w:sz w:val="24"/>
              </w:rPr>
              <w:t>智慧照护</w:t>
            </w:r>
          </w:p>
        </w:tc>
        <w:tc>
          <w:tcPr>
            <w:tcW w:w="7296"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拓展养老、助残、托育等智慧照护服务新场景，推动专用服务机器人研发，加快脑机交互、具身智能、智能穿戴等技术在适老照护、科技助残、术后康复、慢病管理等领域规模化应用。创新远程终端服务系统、在线家庭医生药师等应用场景，打造家政服务、康复医疗等相结合的生活服务场景。积极推进“投资于人”驱动经济社会高质量发展的新场景。</w:t>
            </w:r>
          </w:p>
        </w:tc>
        <w:tc>
          <w:tcPr>
            <w:tcW w:w="2828"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市发展改革委、市民政局、市卫生健康委、市教委、市医保局、市残联等部门，各区人民政府按职责分工负责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70" w:type="dxa"/>
            <w:vMerge w:val="restart"/>
            <w:vAlign w:val="center"/>
          </w:tcPr>
          <w:p>
            <w:pPr>
              <w:pStyle w:val="2"/>
              <w:snapToGrid w:val="0"/>
              <w:jc w:val="center"/>
              <w:rPr>
                <w:rFonts w:ascii="仿宋_GB2312" w:hAnsi="仿宋_GB2312" w:eastAsia="仿宋_GB2312" w:cs="仿宋_GB2312"/>
                <w:sz w:val="24"/>
              </w:rPr>
            </w:pPr>
            <w:r>
              <w:rPr>
                <w:rFonts w:hint="eastAsia" w:ascii="仿宋_GB2312" w:hAnsi="仿宋_GB2312" w:eastAsia="仿宋_GB2312" w:cs="仿宋_GB2312"/>
                <w:sz w:val="24"/>
              </w:rPr>
              <w:t>智慧民生服务应用场景</w:t>
            </w:r>
          </w:p>
        </w:tc>
        <w:tc>
          <w:tcPr>
            <w:tcW w:w="1405" w:type="dxa"/>
            <w:vAlign w:val="center"/>
          </w:tcPr>
          <w:p>
            <w:pPr>
              <w:pStyle w:val="2"/>
              <w:snapToGrid w:val="0"/>
              <w:jc w:val="center"/>
              <w:rPr>
                <w:rFonts w:ascii="仿宋_GB2312" w:hAnsi="仿宋_GB2312" w:eastAsia="仿宋_GB2312" w:cs="仿宋_GB2312"/>
                <w:sz w:val="24"/>
              </w:rPr>
            </w:pPr>
            <w:r>
              <w:rPr>
                <w:rFonts w:hint="eastAsia" w:ascii="仿宋_GB2312" w:hAnsi="仿宋_GB2312" w:eastAsia="仿宋_GB2312" w:cs="仿宋_GB2312"/>
                <w:sz w:val="24"/>
              </w:rPr>
              <w:t>文化旅游</w:t>
            </w:r>
          </w:p>
        </w:tc>
        <w:tc>
          <w:tcPr>
            <w:tcW w:w="7296"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加快数字技术在文旅领域推广应用，围绕服务业扩能提质，打造体验购物、智慧商圈、智慧场馆、智慧景区、智慧公园等沉浸式消费场景，做靓大运河、海河文旅、洋楼品鉴、低空观光等特色品牌。推动津湾广场、劝业场、南市食品街盘活改造。</w:t>
            </w:r>
          </w:p>
        </w:tc>
        <w:tc>
          <w:tcPr>
            <w:tcW w:w="2828"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市商务局、市城市管理委、市文化和旅游局、市体育局等部门，各区人民政府按职责分工负责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70" w:type="dxa"/>
            <w:vMerge w:val="continue"/>
            <w:vAlign w:val="center"/>
          </w:tcPr>
          <w:p>
            <w:pPr>
              <w:pStyle w:val="2"/>
              <w:snapToGrid w:val="0"/>
              <w:jc w:val="center"/>
              <w:rPr>
                <w:rFonts w:ascii="仿宋_GB2312" w:hAnsi="仿宋_GB2312" w:eastAsia="仿宋_GB2312" w:cs="仿宋_GB2312"/>
                <w:sz w:val="24"/>
              </w:rPr>
            </w:pPr>
          </w:p>
        </w:tc>
        <w:tc>
          <w:tcPr>
            <w:tcW w:w="1405" w:type="dxa"/>
            <w:vAlign w:val="center"/>
          </w:tcPr>
          <w:p>
            <w:pPr>
              <w:pStyle w:val="2"/>
              <w:snapToGrid w:val="0"/>
              <w:jc w:val="center"/>
              <w:rPr>
                <w:rFonts w:ascii="仿宋_GB2312" w:hAnsi="仿宋_GB2312" w:eastAsia="仿宋_GB2312" w:cs="仿宋_GB2312"/>
                <w:sz w:val="24"/>
              </w:rPr>
            </w:pPr>
            <w:r>
              <w:rPr>
                <w:rFonts w:hint="eastAsia" w:ascii="仿宋_GB2312" w:hAnsi="仿宋_GB2312" w:eastAsia="仿宋_GB2312" w:cs="仿宋_GB2312"/>
                <w:sz w:val="24"/>
              </w:rPr>
              <w:t>消费提质</w:t>
            </w:r>
          </w:p>
        </w:tc>
        <w:tc>
          <w:tcPr>
            <w:tcW w:w="7296"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加强商业、文化、旅游、体育、健康、交通等消费跨界融合，推动人工智能、元宇宙、虚拟现实、具身智能、第五代移动通信（</w:t>
            </w:r>
            <w:r>
              <w:rPr>
                <w:rFonts w:hint="eastAsia" w:eastAsia="仿宋_GB2312" w:cs="仿宋_GB2312"/>
                <w:sz w:val="24"/>
              </w:rPr>
              <w:t>5G</w:t>
            </w:r>
            <w:r>
              <w:rPr>
                <w:rFonts w:hint="eastAsia" w:ascii="仿宋_GB2312" w:hAnsi="仿宋_GB2312" w:eastAsia="仿宋_GB2312" w:cs="仿宋_GB2312"/>
                <w:sz w:val="24"/>
              </w:rPr>
              <w:t>）等前沿技术在各领域深度应用，打造一批文商旅体展跨界融合的消费新场景。支持建设一批具有烟火气、在地性的特色主题街区、地标性消费集聚区。积极推动菜市场智慧化升级，将特色小吃、社区食堂、体育健身、日杂五金、菜品加工等便民业态引入菜市场，支持建设智慧餐饮门店，鼓励使用智慧点餐系统、送餐机器人等。用好区域丰富文旅资源，推动</w:t>
            </w:r>
            <w:r>
              <w:rPr>
                <w:rFonts w:hint="eastAsia" w:eastAsia="仿宋_GB2312" w:cs="仿宋_GB2312"/>
                <w:sz w:val="24"/>
              </w:rPr>
              <w:t>AI</w:t>
            </w:r>
            <w:r>
              <w:rPr>
                <w:rFonts w:hint="eastAsia" w:ascii="仿宋_GB2312" w:hAnsi="仿宋_GB2312" w:eastAsia="仿宋_GB2312" w:cs="仿宋_GB2312"/>
                <w:sz w:val="24"/>
              </w:rPr>
              <w:t>赋能历史文化与景区消费场景短剧创作和落地。</w:t>
            </w:r>
          </w:p>
        </w:tc>
        <w:tc>
          <w:tcPr>
            <w:tcW w:w="2828"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市商务局、市文化和旅游局、市交通运输委、市城市管理委、市体育局等部门，各区人民政府按职责分工负责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70" w:type="dxa"/>
            <w:vMerge w:val="restart"/>
            <w:vAlign w:val="center"/>
          </w:tcPr>
          <w:p>
            <w:pPr>
              <w:pStyle w:val="2"/>
              <w:snapToGrid w:val="0"/>
              <w:jc w:val="center"/>
              <w:rPr>
                <w:rFonts w:ascii="仿宋_GB2312" w:hAnsi="仿宋_GB2312" w:eastAsia="仿宋_GB2312" w:cs="仿宋_GB2312"/>
                <w:sz w:val="24"/>
              </w:rPr>
            </w:pPr>
            <w:r>
              <w:rPr>
                <w:rFonts w:hint="eastAsia" w:ascii="仿宋_GB2312" w:hAnsi="仿宋_GB2312" w:eastAsia="仿宋_GB2312" w:cs="仿宋_GB2312"/>
                <w:sz w:val="24"/>
              </w:rPr>
              <w:t>京津冀区域协同应用场景</w:t>
            </w:r>
          </w:p>
        </w:tc>
        <w:tc>
          <w:tcPr>
            <w:tcW w:w="1405" w:type="dxa"/>
            <w:vAlign w:val="center"/>
          </w:tcPr>
          <w:p>
            <w:pPr>
              <w:pStyle w:val="2"/>
              <w:snapToGrid w:val="0"/>
              <w:jc w:val="center"/>
              <w:rPr>
                <w:rFonts w:ascii="仿宋_GB2312" w:hAnsi="仿宋_GB2312" w:eastAsia="仿宋_GB2312" w:cs="仿宋_GB2312"/>
                <w:sz w:val="24"/>
              </w:rPr>
            </w:pPr>
            <w:r>
              <w:rPr>
                <w:rFonts w:hint="eastAsia" w:ascii="仿宋_GB2312" w:hAnsi="仿宋_GB2312" w:eastAsia="仿宋_GB2312" w:cs="仿宋_GB2312"/>
                <w:sz w:val="24"/>
              </w:rPr>
              <w:t>产业协同</w:t>
            </w:r>
          </w:p>
        </w:tc>
        <w:tc>
          <w:tcPr>
            <w:tcW w:w="7296"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加大京津冀地区应用场景开放力度，围绕人工智能、生物医药等重点领域，开展产业关键技术产品、配套基础设施、产业协同机制等系统性验证，打造京津冀协同应用场景。支持创新主体联合京津冀地区企业开展核心技术攻关。</w:t>
            </w:r>
          </w:p>
        </w:tc>
        <w:tc>
          <w:tcPr>
            <w:tcW w:w="2828"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市发展改革委、市工业和信息化局、市科技局等部门，有关区人民政府按职责分工负责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70" w:type="dxa"/>
            <w:vMerge w:val="continue"/>
            <w:vAlign w:val="center"/>
          </w:tcPr>
          <w:p>
            <w:pPr>
              <w:pStyle w:val="2"/>
              <w:snapToGrid w:val="0"/>
              <w:jc w:val="center"/>
              <w:rPr>
                <w:rFonts w:ascii="仿宋_GB2312" w:hAnsi="仿宋_GB2312" w:eastAsia="仿宋_GB2312" w:cs="仿宋_GB2312"/>
                <w:sz w:val="24"/>
              </w:rPr>
            </w:pPr>
          </w:p>
        </w:tc>
        <w:tc>
          <w:tcPr>
            <w:tcW w:w="1405" w:type="dxa"/>
            <w:vAlign w:val="center"/>
          </w:tcPr>
          <w:p>
            <w:pPr>
              <w:pStyle w:val="2"/>
              <w:snapToGrid w:val="0"/>
              <w:jc w:val="center"/>
              <w:rPr>
                <w:rFonts w:ascii="仿宋_GB2312" w:hAnsi="仿宋_GB2312" w:eastAsia="仿宋_GB2312" w:cs="仿宋_GB2312"/>
                <w:sz w:val="24"/>
              </w:rPr>
            </w:pPr>
            <w:r>
              <w:rPr>
                <w:rFonts w:hint="eastAsia" w:ascii="仿宋_GB2312" w:hAnsi="仿宋_GB2312" w:eastAsia="仿宋_GB2312" w:cs="仿宋_GB2312"/>
                <w:sz w:val="24"/>
              </w:rPr>
              <w:t>智慧港口</w:t>
            </w:r>
          </w:p>
        </w:tc>
        <w:tc>
          <w:tcPr>
            <w:tcW w:w="7296"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探索实施天津港智慧港口超级场景，积极推进天津港—马驹桥自动驾驶零碳货运典型场景建设，进一步丰富场景创新内涵。加快推进兴港高速建设和京津塘高速改扩建工程，谋划实施车路协同系统配套建设。</w:t>
            </w:r>
          </w:p>
        </w:tc>
        <w:tc>
          <w:tcPr>
            <w:tcW w:w="2828" w:type="dxa"/>
            <w:vAlign w:val="center"/>
          </w:tcPr>
          <w:p>
            <w:pPr>
              <w:pStyle w:val="2"/>
              <w:snapToGrid w:val="0"/>
              <w:rPr>
                <w:rFonts w:ascii="仿宋_GB2312" w:hAnsi="仿宋_GB2312" w:eastAsia="仿宋_GB2312" w:cs="仿宋_GB2312"/>
                <w:sz w:val="24"/>
              </w:rPr>
            </w:pPr>
            <w:r>
              <w:rPr>
                <w:rFonts w:hint="eastAsia" w:ascii="仿宋_GB2312" w:hAnsi="仿宋_GB2312" w:eastAsia="仿宋_GB2312" w:cs="仿宋_GB2312"/>
                <w:sz w:val="24"/>
              </w:rPr>
              <w:t>市发展改革委、市交通运输委、市国资委等部门，有关区人民政府按职责分工负责</w:t>
            </w:r>
          </w:p>
        </w:tc>
      </w:tr>
    </w:tbl>
    <w:p>
      <w:pPr>
        <w:pStyle w:val="2"/>
        <w:ind w:firstLine="624" w:firstLineChars="200"/>
        <w:rPr>
          <w:rFonts w:ascii="仿宋_GB2312" w:hAnsi="仿宋_GB2312" w:eastAsia="仿宋_GB2312" w:cs="仿宋_GB2312"/>
          <w:szCs w:val="32"/>
        </w:rPr>
      </w:pPr>
    </w:p>
    <w:p>
      <w:pPr>
        <w:pStyle w:val="2"/>
        <w:rPr>
          <w:rFonts w:ascii="仿宋_GB2312" w:hAnsi="仿宋_GB2312" w:eastAsia="仿宋_GB2312" w:cs="仿宋_GB2312"/>
          <w:szCs w:val="32"/>
        </w:rPr>
        <w:sectPr>
          <w:pgSz w:w="16840" w:h="11907" w:orient="landscape"/>
          <w:pgMar w:top="1588" w:right="2098" w:bottom="1474" w:left="1985" w:header="851" w:footer="1701" w:gutter="0"/>
          <w:cols w:space="720" w:num="1"/>
          <w:docGrid w:type="linesAndChars" w:linePitch="289" w:charSpace="-1839"/>
        </w:sectPr>
      </w:pPr>
    </w:p>
    <w:p>
      <w:pPr>
        <w:pStyle w:val="2"/>
        <w:rPr>
          <w:rFonts w:ascii="仿宋_GB2312" w:hAnsi="仿宋_GB2312" w:eastAsia="仿宋_GB2312" w:cs="仿宋_GB2312"/>
          <w:szCs w:val="32"/>
        </w:rPr>
      </w:pPr>
    </w:p>
    <w:p>
      <w:pPr>
        <w:pStyle w:val="2"/>
        <w:rPr>
          <w:rFonts w:ascii="仿宋_GB2312" w:hAnsi="仿宋_GB2312" w:eastAsia="仿宋_GB2312" w:cs="仿宋_GB2312"/>
          <w:szCs w:val="32"/>
        </w:rPr>
      </w:pPr>
    </w:p>
    <w:p>
      <w:pPr>
        <w:pStyle w:val="2"/>
        <w:rPr>
          <w:rFonts w:ascii="仿宋_GB2312" w:hAnsi="仿宋_GB2312" w:eastAsia="仿宋_GB2312" w:cs="仿宋_GB2312"/>
          <w:szCs w:val="32"/>
        </w:rPr>
      </w:pPr>
    </w:p>
    <w:p>
      <w:pPr>
        <w:pStyle w:val="2"/>
        <w:rPr>
          <w:rFonts w:ascii="仿宋_GB2312" w:hAnsi="仿宋_GB2312" w:eastAsia="仿宋_GB2312" w:cs="仿宋_GB2312"/>
          <w:szCs w:val="32"/>
        </w:rPr>
      </w:pPr>
    </w:p>
    <w:p>
      <w:pPr>
        <w:pStyle w:val="2"/>
        <w:ind w:left="914" w:hanging="917" w:hangingChars="294"/>
        <w:rPr>
          <w:rFonts w:eastAsia="仿宋_GB2312"/>
          <w:szCs w:val="32"/>
        </w:rPr>
      </w:pPr>
    </w:p>
    <w:p>
      <w:pPr>
        <w:pStyle w:val="2"/>
        <w:ind w:left="914" w:hanging="917" w:hangingChars="294"/>
        <w:rPr>
          <w:rFonts w:eastAsia="仿宋_GB2312"/>
          <w:szCs w:val="32"/>
        </w:rPr>
      </w:pPr>
    </w:p>
    <w:p>
      <w:pPr>
        <w:pStyle w:val="2"/>
        <w:ind w:left="914" w:hanging="917" w:hangingChars="294"/>
        <w:rPr>
          <w:rFonts w:eastAsia="仿宋_GB2312"/>
          <w:szCs w:val="32"/>
        </w:rPr>
      </w:pPr>
    </w:p>
    <w:p>
      <w:pPr>
        <w:pStyle w:val="2"/>
        <w:ind w:left="914" w:hanging="917" w:hangingChars="294"/>
        <w:rPr>
          <w:rFonts w:eastAsia="仿宋_GB2312"/>
          <w:szCs w:val="32"/>
        </w:rPr>
      </w:pPr>
    </w:p>
    <w:p>
      <w:pPr>
        <w:pStyle w:val="2"/>
        <w:ind w:left="914" w:hanging="917" w:hangingChars="294"/>
        <w:rPr>
          <w:rFonts w:eastAsia="仿宋_GB2312"/>
          <w:szCs w:val="32"/>
        </w:rPr>
      </w:pPr>
    </w:p>
    <w:p>
      <w:pPr>
        <w:pStyle w:val="2"/>
        <w:ind w:left="914" w:hanging="917" w:hangingChars="294"/>
        <w:rPr>
          <w:rFonts w:eastAsia="仿宋_GB2312"/>
          <w:szCs w:val="32"/>
        </w:rPr>
      </w:pPr>
    </w:p>
    <w:p>
      <w:pPr>
        <w:pStyle w:val="2"/>
        <w:ind w:left="914" w:hanging="917" w:hangingChars="294"/>
        <w:rPr>
          <w:rFonts w:eastAsia="仿宋_GB2312"/>
          <w:szCs w:val="32"/>
        </w:rPr>
      </w:pPr>
    </w:p>
    <w:p>
      <w:pPr>
        <w:pStyle w:val="2"/>
        <w:ind w:left="914" w:hanging="917" w:hangingChars="294"/>
        <w:rPr>
          <w:rFonts w:eastAsia="仿宋_GB2312"/>
          <w:szCs w:val="32"/>
        </w:rPr>
      </w:pPr>
    </w:p>
    <w:p>
      <w:pPr>
        <w:pStyle w:val="2"/>
        <w:ind w:left="914" w:hanging="917" w:hangingChars="294"/>
        <w:rPr>
          <w:rFonts w:eastAsia="仿宋_GB2312"/>
          <w:szCs w:val="32"/>
        </w:rPr>
      </w:pPr>
    </w:p>
    <w:p>
      <w:pPr>
        <w:pStyle w:val="2"/>
        <w:ind w:left="914" w:hanging="917" w:hangingChars="294"/>
        <w:rPr>
          <w:rFonts w:eastAsia="仿宋_GB2312"/>
          <w:szCs w:val="32"/>
        </w:rPr>
      </w:pPr>
    </w:p>
    <w:p>
      <w:pPr>
        <w:pStyle w:val="2"/>
        <w:rPr>
          <w:sz w:val="10"/>
          <w:szCs w:val="10"/>
        </w:rPr>
      </w:pPr>
    </w:p>
    <w:sectPr>
      <w:pgSz w:w="11907" w:h="16840"/>
      <w:pgMar w:top="2098" w:right="1474" w:bottom="1985" w:left="1588" w:header="851" w:footer="1701" w:gutter="0"/>
      <w:cols w:space="720" w:num="1"/>
      <w:docGrid w:type="linesAndChars" w:linePitch="289" w:charSpace="-183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文星仿宋">
    <w:altName w:val="仿宋"/>
    <w:panose1 w:val="00000000000000000000"/>
    <w:charset w:val="00"/>
    <w:family w:val="auto"/>
    <w:pitch w:val="default"/>
    <w:sig w:usb0="00000000" w:usb1="00000000" w:usb2="00000010"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方正小标宋简体">
    <w:altName w:val="黑体"/>
    <w:panose1 w:val="02010601030101010101"/>
    <w:charset w:val="86"/>
    <w:family w:val="auto"/>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outside" w:y="1"/>
      <w:ind w:left="420" w:leftChars="200" w:right="420" w:rightChars="200"/>
      <w:jc w:val="center"/>
      <w:rPr>
        <w:rStyle w:val="10"/>
        <w:sz w:val="28"/>
      </w:rPr>
    </w:pPr>
    <w:r>
      <w:rPr>
        <w:rStyle w:val="10"/>
        <w:rFonts w:hint="eastAsia"/>
        <w:sz w:val="28"/>
      </w:rPr>
      <w:t>—</w:t>
    </w:r>
    <w:r>
      <w:rPr>
        <w:rStyle w:val="10"/>
        <w:sz w:val="28"/>
      </w:rPr>
      <w:t xml:space="preserve"> </w:t>
    </w:r>
    <w:r>
      <w:rPr>
        <w:rStyle w:val="10"/>
        <w:sz w:val="28"/>
      </w:rPr>
      <w:fldChar w:fldCharType="begin"/>
    </w:r>
    <w:r>
      <w:rPr>
        <w:rStyle w:val="10"/>
        <w:sz w:val="28"/>
      </w:rPr>
      <w:instrText xml:space="preserve">PAGE  </w:instrText>
    </w:r>
    <w:r>
      <w:rPr>
        <w:rStyle w:val="10"/>
        <w:sz w:val="28"/>
      </w:rPr>
      <w:fldChar w:fldCharType="separate"/>
    </w:r>
    <w:r>
      <w:rPr>
        <w:rStyle w:val="10"/>
        <w:sz w:val="28"/>
      </w:rPr>
      <w:t>1</w:t>
    </w:r>
    <w:r>
      <w:rPr>
        <w:rStyle w:val="10"/>
        <w:sz w:val="28"/>
      </w:rPr>
      <w:fldChar w:fldCharType="end"/>
    </w:r>
    <w:r>
      <w:rPr>
        <w:rStyle w:val="10"/>
        <w:sz w:val="28"/>
      </w:rPr>
      <w:t xml:space="preserve"> </w:t>
    </w:r>
    <w:r>
      <w:rPr>
        <w:rStyle w:val="10"/>
        <w:rFonts w:hint="eastAsia"/>
        <w:sz w:val="28"/>
      </w:rPr>
      <w:t>—</w:t>
    </w:r>
  </w:p>
  <w:p>
    <w:pPr>
      <w:pStyle w:val="5"/>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outside" w:y="1"/>
      <w:rPr>
        <w:rStyle w:val="10"/>
      </w:rPr>
    </w:pPr>
    <w:r>
      <w:rPr>
        <w:rStyle w:val="10"/>
      </w:rPr>
      <w:fldChar w:fldCharType="begin"/>
    </w:r>
    <w:r>
      <w:rPr>
        <w:rStyle w:val="10"/>
      </w:rPr>
      <w:instrText xml:space="preserve">PAGE  </w:instrText>
    </w:r>
    <w:r>
      <w:rPr>
        <w:rStyle w:val="10"/>
      </w:rPr>
      <w:fldChar w:fldCharType="end"/>
    </w:r>
  </w:p>
  <w:p>
    <w:pPr>
      <w:pStyle w:val="5"/>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HorizontalSpacing w:val="201"/>
  <w:drawingGridVerticalSpacing w:val="289"/>
  <w:characterSpacingControl w:val="compressPunctuation"/>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ODgwMzk0YTNmOTEwYzJjM2U3NzNmMTczYWNhOTU0MmYifQ=="/>
  </w:docVars>
  <w:rsids>
    <w:rsidRoot w:val="0052186E"/>
    <w:rsid w:val="000007A8"/>
    <w:rsid w:val="000044C7"/>
    <w:rsid w:val="000068A5"/>
    <w:rsid w:val="0003738B"/>
    <w:rsid w:val="00071623"/>
    <w:rsid w:val="000E2D13"/>
    <w:rsid w:val="00143BAA"/>
    <w:rsid w:val="00184D7D"/>
    <w:rsid w:val="001C2AA4"/>
    <w:rsid w:val="001C3B43"/>
    <w:rsid w:val="002B4F82"/>
    <w:rsid w:val="002E19E1"/>
    <w:rsid w:val="002E5E1B"/>
    <w:rsid w:val="002F11DA"/>
    <w:rsid w:val="002F6A2E"/>
    <w:rsid w:val="00326547"/>
    <w:rsid w:val="00334EA9"/>
    <w:rsid w:val="00344D03"/>
    <w:rsid w:val="003454CF"/>
    <w:rsid w:val="00346591"/>
    <w:rsid w:val="0036674E"/>
    <w:rsid w:val="003811AD"/>
    <w:rsid w:val="003A0B3A"/>
    <w:rsid w:val="003B4936"/>
    <w:rsid w:val="003C2B8E"/>
    <w:rsid w:val="003D411B"/>
    <w:rsid w:val="0040798F"/>
    <w:rsid w:val="00423112"/>
    <w:rsid w:val="00470219"/>
    <w:rsid w:val="00475655"/>
    <w:rsid w:val="00475EA0"/>
    <w:rsid w:val="004D08EE"/>
    <w:rsid w:val="0052186E"/>
    <w:rsid w:val="00573751"/>
    <w:rsid w:val="00577ED3"/>
    <w:rsid w:val="005A520C"/>
    <w:rsid w:val="005C2FB4"/>
    <w:rsid w:val="00600D6F"/>
    <w:rsid w:val="006060B6"/>
    <w:rsid w:val="00643EF8"/>
    <w:rsid w:val="006463F7"/>
    <w:rsid w:val="00672D83"/>
    <w:rsid w:val="00686D91"/>
    <w:rsid w:val="006D1237"/>
    <w:rsid w:val="00712D3A"/>
    <w:rsid w:val="007276F9"/>
    <w:rsid w:val="007318B6"/>
    <w:rsid w:val="00731E55"/>
    <w:rsid w:val="00752846"/>
    <w:rsid w:val="00763B0E"/>
    <w:rsid w:val="00773454"/>
    <w:rsid w:val="00777D65"/>
    <w:rsid w:val="00781034"/>
    <w:rsid w:val="007A0114"/>
    <w:rsid w:val="007A2640"/>
    <w:rsid w:val="007B01A3"/>
    <w:rsid w:val="007B1EDA"/>
    <w:rsid w:val="007C6740"/>
    <w:rsid w:val="007D0386"/>
    <w:rsid w:val="007D2F1D"/>
    <w:rsid w:val="00846D11"/>
    <w:rsid w:val="0085493B"/>
    <w:rsid w:val="00873B40"/>
    <w:rsid w:val="008914FD"/>
    <w:rsid w:val="008D6530"/>
    <w:rsid w:val="008E29A0"/>
    <w:rsid w:val="008F2448"/>
    <w:rsid w:val="00912EC7"/>
    <w:rsid w:val="00942266"/>
    <w:rsid w:val="00963484"/>
    <w:rsid w:val="009920BF"/>
    <w:rsid w:val="0099656B"/>
    <w:rsid w:val="009C102D"/>
    <w:rsid w:val="009C116B"/>
    <w:rsid w:val="009F78DD"/>
    <w:rsid w:val="009F7972"/>
    <w:rsid w:val="00A36258"/>
    <w:rsid w:val="00A91468"/>
    <w:rsid w:val="00AA3F8A"/>
    <w:rsid w:val="00AA64D3"/>
    <w:rsid w:val="00AC3CF4"/>
    <w:rsid w:val="00AE4B3F"/>
    <w:rsid w:val="00AE656A"/>
    <w:rsid w:val="00B123FE"/>
    <w:rsid w:val="00B70BCD"/>
    <w:rsid w:val="00B770E9"/>
    <w:rsid w:val="00B83488"/>
    <w:rsid w:val="00B93140"/>
    <w:rsid w:val="00BA35B4"/>
    <w:rsid w:val="00BC6067"/>
    <w:rsid w:val="00C22CEC"/>
    <w:rsid w:val="00C2526A"/>
    <w:rsid w:val="00CC42BE"/>
    <w:rsid w:val="00CE2267"/>
    <w:rsid w:val="00CE76C4"/>
    <w:rsid w:val="00D000FF"/>
    <w:rsid w:val="00D12C5D"/>
    <w:rsid w:val="00D173C2"/>
    <w:rsid w:val="00D40E94"/>
    <w:rsid w:val="00D43624"/>
    <w:rsid w:val="00D44E9D"/>
    <w:rsid w:val="00D64A77"/>
    <w:rsid w:val="00D8625C"/>
    <w:rsid w:val="00DB7FA1"/>
    <w:rsid w:val="00DD768C"/>
    <w:rsid w:val="00E2093B"/>
    <w:rsid w:val="00E31F62"/>
    <w:rsid w:val="00E35929"/>
    <w:rsid w:val="00E67E23"/>
    <w:rsid w:val="00E74110"/>
    <w:rsid w:val="00EA77DD"/>
    <w:rsid w:val="00EB3529"/>
    <w:rsid w:val="00F13242"/>
    <w:rsid w:val="00F23CEA"/>
    <w:rsid w:val="00F35D3F"/>
    <w:rsid w:val="00F410DE"/>
    <w:rsid w:val="00F61E7C"/>
    <w:rsid w:val="00FB20E7"/>
    <w:rsid w:val="17BFD7F5"/>
    <w:rsid w:val="1EBD1CDF"/>
    <w:rsid w:val="1FEB14E5"/>
    <w:rsid w:val="29F79B4C"/>
    <w:rsid w:val="3FBF3296"/>
    <w:rsid w:val="4BCEDF44"/>
    <w:rsid w:val="67BF80F6"/>
    <w:rsid w:val="67EF89D4"/>
    <w:rsid w:val="7429635D"/>
    <w:rsid w:val="75FFD392"/>
    <w:rsid w:val="77ED3B91"/>
    <w:rsid w:val="78F94F8B"/>
    <w:rsid w:val="7AFEF08A"/>
    <w:rsid w:val="7D410DFA"/>
    <w:rsid w:val="7FFA306B"/>
    <w:rsid w:val="A3DDE2FD"/>
    <w:rsid w:val="BF7F705B"/>
    <w:rsid w:val="D67C42A4"/>
    <w:rsid w:val="E9BD9F45"/>
    <w:rsid w:val="EBF7BA96"/>
    <w:rsid w:val="ED475EA5"/>
    <w:rsid w:val="F3BE51EC"/>
    <w:rsid w:val="F7726A9C"/>
    <w:rsid w:val="FDEE272B"/>
    <w:rsid w:val="FDEE43C0"/>
    <w:rsid w:val="FEFF703E"/>
    <w:rsid w:val="FFDDA6DE"/>
    <w:rsid w:val="FFFF412C"/>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2"/>
    <w:uiPriority w:val="0"/>
    <w:rPr>
      <w:rFonts w:eastAsia="文星仿宋"/>
      <w:sz w:val="32"/>
    </w:rPr>
  </w:style>
  <w:style w:type="paragraph" w:styleId="3">
    <w:name w:val="Date"/>
    <w:basedOn w:val="1"/>
    <w:next w:val="1"/>
    <w:uiPriority w:val="0"/>
    <w:pPr>
      <w:ind w:left="100" w:leftChars="2500"/>
    </w:pPr>
  </w:style>
  <w:style w:type="paragraph" w:styleId="4">
    <w:name w:val="Balloon Text"/>
    <w:basedOn w:val="1"/>
    <w:semiHidden/>
    <w:uiPriority w:val="0"/>
    <w:rPr>
      <w:sz w:val="18"/>
      <w:szCs w:val="18"/>
    </w:rPr>
  </w:style>
  <w:style w:type="paragraph" w:styleId="5">
    <w:name w:val="footer"/>
    <w:basedOn w:val="1"/>
    <w:uiPriority w:val="0"/>
    <w:pPr>
      <w:tabs>
        <w:tab w:val="center" w:pos="4153"/>
        <w:tab w:val="right" w:pos="8306"/>
      </w:tabs>
      <w:snapToGrid w:val="0"/>
      <w:jc w:val="left"/>
    </w:pPr>
    <w:rPr>
      <w:sz w:val="18"/>
      <w:szCs w:val="18"/>
    </w:rPr>
  </w:style>
  <w:style w:type="paragraph" w:styleId="6">
    <w:name w:val="header"/>
    <w:basedOn w:val="1"/>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page number"/>
    <w:basedOn w:val="9"/>
    <w:uiPriority w:val="0"/>
  </w:style>
  <w:style w:type="character" w:styleId="11">
    <w:name w:val="Hyperlink"/>
    <w:basedOn w:val="9"/>
    <w:uiPriority w:val="0"/>
    <w:rPr>
      <w:color w:val="0000FF"/>
      <w:u w:val="single"/>
    </w:rPr>
  </w:style>
  <w:style w:type="character" w:customStyle="1" w:styleId="12">
    <w:name w:val="正文文本 Char"/>
    <w:basedOn w:val="9"/>
    <w:link w:val="2"/>
    <w:uiPriority w:val="0"/>
    <w:rPr>
      <w:rFonts w:eastAsia="文星仿宋"/>
      <w:kern w:val="2"/>
      <w:sz w:val="32"/>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tjszf</Company>
  <Pages>16</Pages>
  <Words>1394</Words>
  <Characters>7951</Characters>
  <Lines>66</Lines>
  <Paragraphs>18</Paragraphs>
  <TotalTime>0</TotalTime>
  <ScaleCrop>false</ScaleCrop>
  <LinksUpToDate>false</LinksUpToDate>
  <CharactersWithSpaces>9327</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2014-06-13T00:51:00Z</dcterms:created>
  <dc:creator>jsj</dc:creator>
  <cp:lastModifiedBy> Chloe堂姐</cp:lastModifiedBy>
  <cp:lastPrinted>2026-10-01T22:58:00Z</cp:lastPrinted>
  <dcterms:modified xsi:type="dcterms:W3CDTF">2026-10-12T00:56:32Z</dcterms:modified>
  <dc:title>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5F9178FE3419CEE341B2BC6ABAF68B10</vt:lpwstr>
  </property>
</Properties>
</file>