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eastAsia="仿宋_GB2312"/>
          <w:szCs w:val="32"/>
        </w:rPr>
      </w:pPr>
    </w:p>
    <w:p>
      <w:pPr>
        <w:pStyle w:val="2"/>
        <w:snapToGrid w:val="0"/>
        <w:jc w:val="center"/>
        <w:rPr>
          <w:rStyle w:val="11"/>
          <w:rFonts w:hint="eastAsia" w:ascii="方正小标宋简体" w:hAnsi="方正小标宋_GBK" w:eastAsia="方正小标宋简体" w:cs="方正小标宋_GBK"/>
          <w:color w:val="auto"/>
          <w:sz w:val="44"/>
          <w:szCs w:val="44"/>
          <w:u w:val="none"/>
        </w:rPr>
      </w:pPr>
      <w:r>
        <w:rPr>
          <w:rStyle w:val="11"/>
          <w:rFonts w:hint="eastAsia" w:ascii="方正小标宋简体" w:hAnsi="方正小标宋_GBK" w:eastAsia="方正小标宋简体" w:cs="方正小标宋_GBK"/>
          <w:color w:val="auto"/>
          <w:sz w:val="44"/>
          <w:szCs w:val="44"/>
          <w:u w:val="none"/>
        </w:rPr>
        <w:t>天津市人民政府办公厅关于修改和废止</w:t>
      </w:r>
    </w:p>
    <w:p>
      <w:pPr>
        <w:pStyle w:val="2"/>
        <w:snapToGrid w:val="0"/>
        <w:jc w:val="center"/>
        <w:rPr>
          <w:rStyle w:val="11"/>
          <w:rFonts w:ascii="方正小标宋_GBK" w:hAnsi="方正小标宋_GBK" w:eastAsia="方正小标宋_GBK" w:cs="方正小标宋_GBK"/>
          <w:color w:val="auto"/>
          <w:sz w:val="44"/>
          <w:szCs w:val="44"/>
          <w:u w:val="none"/>
        </w:rPr>
      </w:pPr>
      <w:r>
        <w:rPr>
          <w:rStyle w:val="11"/>
          <w:rFonts w:hint="eastAsia" w:ascii="方正小标宋简体" w:hAnsi="方正小标宋_GBK" w:eastAsia="方正小标宋简体" w:cs="方正小标宋_GBK"/>
          <w:color w:val="auto"/>
          <w:sz w:val="44"/>
          <w:szCs w:val="44"/>
          <w:u w:val="none"/>
        </w:rPr>
        <w:t>部分行政规</w:t>
      </w:r>
      <w:bookmarkStart w:id="0" w:name="_GoBack"/>
      <w:bookmarkEnd w:id="0"/>
      <w:r>
        <w:rPr>
          <w:rStyle w:val="11"/>
          <w:rFonts w:hint="eastAsia" w:ascii="方正小标宋简体" w:hAnsi="方正小标宋_GBK" w:eastAsia="方正小标宋简体" w:cs="方正小标宋_GBK"/>
          <w:color w:val="auto"/>
          <w:sz w:val="44"/>
          <w:szCs w:val="44"/>
          <w:u w:val="none"/>
        </w:rPr>
        <w:t>范性文件的通知</w:t>
      </w:r>
    </w:p>
    <w:p>
      <w:pPr>
        <w:pStyle w:val="2"/>
        <w:rPr>
          <w:rFonts w:ascii="仿宋_GB2312" w:hAnsi="仿宋_GB2312" w:eastAsia="仿宋_GB2312" w:cs="仿宋_GB2312"/>
          <w:szCs w:val="32"/>
        </w:rPr>
      </w:pPr>
    </w:p>
    <w:p>
      <w:pPr>
        <w:pStyle w:val="2"/>
        <w:rPr>
          <w:rFonts w:ascii="仿宋_GB2312" w:eastAsia="仿宋_GB2312"/>
        </w:rPr>
      </w:pPr>
      <w:r>
        <w:rPr>
          <w:rFonts w:hint="eastAsia" w:ascii="仿宋_GB2312" w:eastAsia="仿宋_GB2312"/>
        </w:rPr>
        <w:t>各区人民政府，市政府各委、办、局：</w:t>
      </w:r>
    </w:p>
    <w:p>
      <w:pPr>
        <w:pStyle w:val="2"/>
        <w:ind w:firstLine="624" w:firstLineChars="200"/>
        <w:rPr>
          <w:rFonts w:eastAsia="仿宋_GB2312"/>
          <w:szCs w:val="32"/>
        </w:rPr>
      </w:pPr>
      <w:r>
        <w:rPr>
          <w:rFonts w:hint="eastAsia" w:eastAsia="仿宋_GB2312"/>
          <w:szCs w:val="32"/>
        </w:rPr>
        <w:t>为推动《中华人民共和国生态环境法典》全面有效贯彻实施，市人民政府对涉及的行政规范性文件进行了清理，决定对1件行政规范性文件进行修改，对3件行政规范性文件予以废止。</w:t>
      </w:r>
    </w:p>
    <w:p>
      <w:pPr>
        <w:pStyle w:val="2"/>
        <w:ind w:firstLine="624" w:firstLineChars="200"/>
        <w:rPr>
          <w:rFonts w:eastAsia="黑体"/>
          <w:szCs w:val="32"/>
        </w:rPr>
      </w:pPr>
      <w:r>
        <w:rPr>
          <w:rFonts w:eastAsia="黑体"/>
          <w:szCs w:val="32"/>
        </w:rPr>
        <w:t>一、对《天津市人民政府办公厅关于印发天津市工业用地招标拍卖挂牌出让管理办法的通知》（津政办规〔2024〕4号）进行修改</w:t>
      </w:r>
    </w:p>
    <w:p>
      <w:pPr>
        <w:pStyle w:val="2"/>
        <w:ind w:firstLine="624" w:firstLineChars="200"/>
        <w:rPr>
          <w:rFonts w:eastAsia="仿宋_GB2312"/>
          <w:szCs w:val="32"/>
        </w:rPr>
      </w:pPr>
      <w:r>
        <w:rPr>
          <w:rFonts w:hint="eastAsia" w:eastAsia="仿宋_GB2312"/>
          <w:szCs w:val="32"/>
        </w:rPr>
        <w:t>将第九条第二款修改为：“在工业用地招标、拍卖、挂牌出让前，按照国家和本市关于土壤污染防治工作的规定，由相关责任主体完成污染地块土壤治理修复及修复效果评估。”</w:t>
      </w:r>
    </w:p>
    <w:p>
      <w:pPr>
        <w:pStyle w:val="2"/>
        <w:ind w:firstLine="624" w:firstLineChars="200"/>
        <w:rPr>
          <w:rFonts w:eastAsia="黑体"/>
          <w:szCs w:val="32"/>
        </w:rPr>
      </w:pPr>
      <w:r>
        <w:rPr>
          <w:rFonts w:eastAsia="黑体"/>
          <w:szCs w:val="32"/>
        </w:rPr>
        <w:t>二、对以下3件行政规范性文件予以废止</w:t>
      </w:r>
    </w:p>
    <w:p>
      <w:pPr>
        <w:pStyle w:val="2"/>
        <w:ind w:firstLine="624" w:firstLineChars="200"/>
        <w:rPr>
          <w:rFonts w:eastAsia="仿宋_GB2312"/>
          <w:szCs w:val="32"/>
        </w:rPr>
      </w:pPr>
      <w:r>
        <w:rPr>
          <w:rFonts w:hint="eastAsia" w:eastAsia="仿宋_GB2312"/>
          <w:szCs w:val="32"/>
        </w:rPr>
        <w:t>（一）天津市人民政府办公厅《转发市水务局关于实行最严格水资源管理制度意见的通知》（津政办发〔2012〕1号）</w:t>
      </w:r>
    </w:p>
    <w:p>
      <w:pPr>
        <w:pStyle w:val="2"/>
        <w:ind w:firstLine="624" w:firstLineChars="200"/>
        <w:rPr>
          <w:rFonts w:eastAsia="仿宋_GB2312"/>
          <w:szCs w:val="32"/>
        </w:rPr>
      </w:pPr>
      <w:r>
        <w:rPr>
          <w:rFonts w:hint="eastAsia" w:eastAsia="仿宋_GB2312"/>
          <w:szCs w:val="32"/>
        </w:rPr>
        <w:t>（二）《天津市人民政府办公厅转发市水务局关于进一步加强水资源管理工作实施意见的通知》（津政办发〔2017〕10号）</w:t>
      </w:r>
    </w:p>
    <w:p>
      <w:pPr>
        <w:pStyle w:val="2"/>
        <w:ind w:firstLine="624" w:firstLineChars="200"/>
        <w:rPr>
          <w:rFonts w:eastAsia="仿宋_GB2312"/>
          <w:szCs w:val="32"/>
        </w:rPr>
      </w:pPr>
      <w:r>
        <w:rPr>
          <w:rFonts w:hint="eastAsia" w:eastAsia="仿宋_GB2312"/>
          <w:szCs w:val="32"/>
        </w:rPr>
        <w:t>（三）《天津市人民政府办公厅关于转发市水务局市发展改革委拟定的天津市“十三五”水资源消耗总量和强度双控行动方案的通知》（津政办发〔2017〕49号）</w:t>
      </w:r>
    </w:p>
    <w:p>
      <w:pPr>
        <w:pStyle w:val="2"/>
        <w:ind w:firstLine="624" w:firstLineChars="200"/>
        <w:rPr>
          <w:rFonts w:eastAsia="仿宋_GB2312"/>
          <w:szCs w:val="32"/>
        </w:rPr>
      </w:pPr>
      <w:r>
        <w:rPr>
          <w:rFonts w:hint="eastAsia" w:eastAsia="仿宋_GB2312"/>
          <w:szCs w:val="32"/>
        </w:rPr>
        <w:t>特此通知。</w:t>
      </w:r>
    </w:p>
    <w:p>
      <w:pPr>
        <w:pStyle w:val="2"/>
        <w:rPr>
          <w:rFonts w:eastAsia="仿宋_GB2312"/>
          <w:szCs w:val="32"/>
        </w:rPr>
      </w:pPr>
    </w:p>
    <w:p>
      <w:pPr>
        <w:pStyle w:val="2"/>
        <w:keepNext w:val="0"/>
        <w:keepLines w:val="0"/>
        <w:pageBreakBefore w:val="0"/>
        <w:widowControl w:val="0"/>
        <w:kinsoku/>
        <w:overflowPunct/>
        <w:topLinePunct w:val="0"/>
        <w:autoSpaceDE/>
        <w:autoSpaceDN/>
        <w:bidi w:val="0"/>
        <w:adjustRightInd/>
        <w:snapToGrid/>
        <w:spacing w:line="360" w:lineRule="auto"/>
        <w:jc w:val="center"/>
        <w:textAlignment w:val="auto"/>
        <w:rPr>
          <w:rFonts w:eastAsia="仿宋_GB2312"/>
          <w:szCs w:val="32"/>
        </w:rPr>
      </w:pPr>
      <w:r>
        <w:rPr>
          <w:rFonts w:hint="eastAsia" w:eastAsia="仿宋_GB2312"/>
          <w:szCs w:val="32"/>
          <w:lang w:val="en-US" w:eastAsia="zh-CN"/>
        </w:rPr>
        <w:t xml:space="preserve">                       </w:t>
      </w:r>
      <w:r>
        <w:rPr>
          <w:rFonts w:hint="eastAsia" w:ascii="Times New Roman" w:hAnsi="Times New Roman" w:eastAsia="仿宋_GB2312"/>
          <w:szCs w:val="32"/>
          <w:lang w:val="en-US" w:eastAsia="zh-CN"/>
        </w:rPr>
        <w:t xml:space="preserve"> 天津市人民政府办公厅</w:t>
      </w:r>
    </w:p>
    <w:p>
      <w:pPr>
        <w:pStyle w:val="2"/>
        <w:wordWrap w:val="0"/>
        <w:jc w:val="right"/>
        <w:rPr>
          <w:rFonts w:eastAsia="仿宋_GB2312"/>
          <w:szCs w:val="32"/>
        </w:rPr>
      </w:pPr>
      <w:r>
        <w:rPr>
          <w:rFonts w:hint="eastAsia" w:eastAsia="仿宋_GB2312"/>
          <w:szCs w:val="32"/>
        </w:rPr>
        <w:t>20</w:t>
      </w:r>
      <w:r>
        <w:rPr>
          <w:rFonts w:eastAsia="仿宋_GB2312"/>
          <w:szCs w:val="32"/>
        </w:rPr>
        <w:t>26</w:t>
      </w:r>
      <w:r>
        <w:rPr>
          <w:rFonts w:hint="eastAsia" w:eastAsia="仿宋_GB2312"/>
          <w:szCs w:val="32"/>
        </w:rPr>
        <w:t>年</w:t>
      </w:r>
      <w:r>
        <w:rPr>
          <w:rFonts w:eastAsia="仿宋_GB2312"/>
          <w:szCs w:val="32"/>
        </w:rPr>
        <w:t>8</w:t>
      </w:r>
      <w:r>
        <w:rPr>
          <w:rFonts w:hint="eastAsia" w:eastAsia="仿宋_GB2312"/>
          <w:szCs w:val="32"/>
        </w:rPr>
        <w:t>月</w:t>
      </w:r>
      <w:r>
        <w:rPr>
          <w:rFonts w:eastAsia="仿宋_GB2312"/>
          <w:szCs w:val="32"/>
        </w:rPr>
        <w:t>24</w:t>
      </w:r>
      <w:r>
        <w:rPr>
          <w:rFonts w:hint="eastAsia" w:eastAsia="仿宋_GB2312"/>
          <w:szCs w:val="32"/>
        </w:rPr>
        <w:t xml:space="preserve">日        </w:t>
      </w:r>
    </w:p>
    <w:p>
      <w:pPr>
        <w:pStyle w:val="2"/>
        <w:ind w:firstLine="622"/>
        <w:rPr>
          <w:rFonts w:eastAsia="仿宋_GB2312"/>
          <w:szCs w:val="32"/>
        </w:rPr>
      </w:pPr>
      <w:r>
        <w:rPr>
          <w:rFonts w:hint="eastAsia" w:eastAsia="仿宋_GB2312"/>
          <w:szCs w:val="32"/>
        </w:rPr>
        <w:t>（此件主动公开）</w:t>
      </w:r>
    </w:p>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ind w:left="420" w:leftChars="200" w:right="420" w:rightChars="200"/>
      <w:jc w:val="center"/>
      <w:rPr>
        <w:rStyle w:val="10"/>
        <w:sz w:val="28"/>
      </w:rPr>
    </w:pPr>
    <w:r>
      <w:rPr>
        <w:rStyle w:val="10"/>
        <w:rFonts w:hint="eastAsia"/>
        <w:sz w:val="28"/>
      </w:rPr>
      <w:t>—</w:t>
    </w:r>
    <w:r>
      <w:rPr>
        <w:rStyle w:val="10"/>
        <w:sz w:val="28"/>
      </w:rPr>
      <w:t xml:space="preserve"> </w:t>
    </w:r>
    <w:r>
      <w:rPr>
        <w:sz w:val="28"/>
      </w:rPr>
      <w:fldChar w:fldCharType="begin"/>
    </w:r>
    <w:r>
      <w:rPr>
        <w:rStyle w:val="10"/>
        <w:sz w:val="28"/>
      </w:rPr>
      <w:instrText xml:space="preserve">PAGE  </w:instrText>
    </w:r>
    <w:r>
      <w:rPr>
        <w:sz w:val="28"/>
      </w:rPr>
      <w:fldChar w:fldCharType="separate"/>
    </w:r>
    <w:r>
      <w:rPr>
        <w:rStyle w:val="10"/>
        <w:sz w:val="28"/>
      </w:rPr>
      <w:t>2</w:t>
    </w:r>
    <w:r>
      <w:rPr>
        <w:sz w:val="28"/>
      </w:rPr>
      <w:fldChar w:fldCharType="end"/>
    </w:r>
    <w:r>
      <w:rPr>
        <w:rStyle w:val="10"/>
        <w:sz w:val="28"/>
      </w:rPr>
      <w:t xml:space="preserve"> </w:t>
    </w:r>
    <w:r>
      <w:rPr>
        <w:rStyle w:val="10"/>
        <w:rFonts w:hint="eastAsia"/>
        <w:sz w:val="28"/>
      </w:rPr>
      <w:t>—</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0"/>
      </w:rPr>
    </w:pPr>
    <w:r>
      <w:fldChar w:fldCharType="begin"/>
    </w:r>
    <w:r>
      <w:rPr>
        <w:rStyle w:val="10"/>
      </w:rPr>
      <w:instrText xml:space="preserve">PAGE  </w:instrText>
    </w:r>
    <w:r>
      <w:fldChar w:fldCharType="end"/>
    </w:r>
  </w:p>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gwMzk0YTNmOTEwYzJjM2U3NzNmMTczYWNhOTU0MmYifQ=="/>
  </w:docVars>
  <w:rsids>
    <w:rsidRoot w:val="0052186E"/>
    <w:rsid w:val="000007A8"/>
    <w:rsid w:val="000044C7"/>
    <w:rsid w:val="000068A5"/>
    <w:rsid w:val="0003738B"/>
    <w:rsid w:val="00071623"/>
    <w:rsid w:val="000E2D13"/>
    <w:rsid w:val="00143BAA"/>
    <w:rsid w:val="00184D7D"/>
    <w:rsid w:val="001C2AA4"/>
    <w:rsid w:val="001C3B43"/>
    <w:rsid w:val="002B4F82"/>
    <w:rsid w:val="002E5E1B"/>
    <w:rsid w:val="002F11DA"/>
    <w:rsid w:val="002F6A2E"/>
    <w:rsid w:val="00326547"/>
    <w:rsid w:val="00332DE1"/>
    <w:rsid w:val="00334EA9"/>
    <w:rsid w:val="00344D03"/>
    <w:rsid w:val="003454CF"/>
    <w:rsid w:val="00346591"/>
    <w:rsid w:val="0036674E"/>
    <w:rsid w:val="003811AD"/>
    <w:rsid w:val="0038770E"/>
    <w:rsid w:val="003878F5"/>
    <w:rsid w:val="003A0B3A"/>
    <w:rsid w:val="003A6D76"/>
    <w:rsid w:val="003B4936"/>
    <w:rsid w:val="003C2B8E"/>
    <w:rsid w:val="003D411B"/>
    <w:rsid w:val="0040798F"/>
    <w:rsid w:val="00423112"/>
    <w:rsid w:val="00470219"/>
    <w:rsid w:val="00475655"/>
    <w:rsid w:val="00475EA0"/>
    <w:rsid w:val="004B52CB"/>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2F1D"/>
    <w:rsid w:val="007E09A2"/>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D000FF"/>
    <w:rsid w:val="00D173C2"/>
    <w:rsid w:val="00D40E94"/>
    <w:rsid w:val="00D424BC"/>
    <w:rsid w:val="00D43624"/>
    <w:rsid w:val="00D44E9D"/>
    <w:rsid w:val="00D64A77"/>
    <w:rsid w:val="00D8625C"/>
    <w:rsid w:val="00DB7FA1"/>
    <w:rsid w:val="00DD768C"/>
    <w:rsid w:val="00E2093B"/>
    <w:rsid w:val="00E31F62"/>
    <w:rsid w:val="00E67E23"/>
    <w:rsid w:val="00E74110"/>
    <w:rsid w:val="00EA0D44"/>
    <w:rsid w:val="00EA77DD"/>
    <w:rsid w:val="00EB3529"/>
    <w:rsid w:val="00F13242"/>
    <w:rsid w:val="00F23CEA"/>
    <w:rsid w:val="00F35D3F"/>
    <w:rsid w:val="00F410DE"/>
    <w:rsid w:val="00F61E7C"/>
    <w:rsid w:val="00FB20E7"/>
    <w:rsid w:val="06452E26"/>
    <w:rsid w:val="3F5E8E5A"/>
    <w:rsid w:val="567F9713"/>
    <w:rsid w:val="67B19DFB"/>
    <w:rsid w:val="6FBFEE03"/>
    <w:rsid w:val="6FFA2435"/>
    <w:rsid w:val="7B7E5465"/>
    <w:rsid w:val="B9EAC4E9"/>
    <w:rsid w:val="BCDE2957"/>
    <w:rsid w:val="BDFF9DFB"/>
    <w:rsid w:val="BF6B0D34"/>
    <w:rsid w:val="CDEB7F5F"/>
    <w:rsid w:val="D755048B"/>
    <w:rsid w:val="EBB76A3D"/>
    <w:rsid w:val="F3EC9B8E"/>
    <w:rsid w:val="F3FE2F7B"/>
    <w:rsid w:val="FB52288F"/>
    <w:rsid w:val="FFE53859"/>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uiPriority w:val="0"/>
    <w:rPr>
      <w:rFonts w:eastAsia="文星仿宋"/>
      <w:sz w:val="32"/>
    </w:rPr>
  </w:style>
  <w:style w:type="paragraph" w:styleId="3">
    <w:name w:val="Body Text Indent"/>
    <w:basedOn w:val="1"/>
    <w:qFormat/>
    <w:uiPriority w:val="0"/>
    <w:pPr>
      <w:ind w:firstLine="720" w:firstLineChars="225"/>
    </w:pPr>
    <w:rPr>
      <w:sz w:val="32"/>
      <w:szCs w:val="20"/>
    </w:rPr>
  </w:style>
  <w:style w:type="paragraph" w:styleId="4">
    <w:name w:val="Date"/>
    <w:basedOn w:val="1"/>
    <w:next w:val="1"/>
    <w:uiPriority w:val="0"/>
    <w:pPr>
      <w:ind w:left="100" w:leftChars="25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uiPriority w:val="0"/>
  </w:style>
  <w:style w:type="character" w:styleId="11">
    <w:name w:val="Hyperlink"/>
    <w:basedOn w:val="9"/>
    <w:uiPriority w:val="0"/>
    <w:rPr>
      <w:color w:val="0000FF"/>
      <w:u w:val="single"/>
    </w:rPr>
  </w:style>
  <w:style w:type="character" w:customStyle="1" w:styleId="12">
    <w:name w:val="正文文本 Char"/>
    <w:basedOn w:val="9"/>
    <w:link w:val="2"/>
    <w:uiPriority w:val="0"/>
    <w:rPr>
      <w:rFonts w:eastAsia="文星仿宋"/>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2</Pages>
  <Words>80</Words>
  <Characters>460</Characters>
  <Lines>3</Lines>
  <Paragraphs>1</Paragraphs>
  <TotalTime>0</TotalTime>
  <ScaleCrop>false</ScaleCrop>
  <LinksUpToDate>false</LinksUpToDate>
  <CharactersWithSpaces>539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2020-01-13T15:58:00Z</dcterms:created>
  <dc:creator>jsj</dc:creator>
  <cp:lastModifiedBy> Chloe堂姐</cp:lastModifiedBy>
  <cp:lastPrinted>2020-12-27T18:20:00Z</cp:lastPrinted>
  <dcterms:modified xsi:type="dcterms:W3CDTF">2026-08-27T02:55:45Z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86E4078A4DF2CCC780398D6A0618150B</vt:lpwstr>
  </property>
</Properties>
</file>