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jc w:val="both"/>
        <w:rPr>
          <w:rFonts w:eastAsia="仿宋_GB2312"/>
          <w:szCs w:val="32"/>
        </w:rPr>
      </w:pPr>
    </w:p>
    <w:p>
      <w:pPr>
        <w:pStyle w:val="3"/>
        <w:snapToGrid w:val="0"/>
        <w:jc w:val="center"/>
        <w:rPr>
          <w:rStyle w:val="12"/>
          <w:rFonts w:hint="eastAsia" w:ascii="方正小标宋简体" w:hAnsi="方正小标宋_GBK" w:eastAsia="方正小标宋简体"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天津市人民政府办公厅关于印发</w:t>
      </w:r>
    </w:p>
    <w:p>
      <w:pPr>
        <w:pStyle w:val="3"/>
        <w:snapToGrid w:val="0"/>
        <w:jc w:val="center"/>
        <w:rPr>
          <w:rStyle w:val="12"/>
          <w:rFonts w:hint="eastAsia" w:ascii="方正小标宋简体" w:hAnsi="方正小标宋_GBK" w:eastAsia="方正小标宋简体"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天津市推动广告产业高质量发展行动方案</w:t>
      </w:r>
    </w:p>
    <w:p>
      <w:pPr>
        <w:pStyle w:val="3"/>
        <w:snapToGrid w:val="0"/>
        <w:jc w:val="center"/>
        <w:rPr>
          <w:rStyle w:val="12"/>
          <w:rFonts w:ascii="方正小标宋_GBK" w:hAnsi="方正小标宋_GBK" w:eastAsia="方正小标宋_GBK"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（2026—2028年）的通知</w:t>
      </w:r>
    </w:p>
    <w:p>
      <w:pPr>
        <w:pStyle w:val="3"/>
        <w:snapToGrid w:val="0"/>
        <w:rPr>
          <w:rFonts w:ascii="仿宋_GB2312" w:hAnsi="仿宋_GB2312" w:eastAsia="仿宋_GB2312" w:cs="仿宋_GB2312"/>
          <w:szCs w:val="32"/>
        </w:rPr>
      </w:pPr>
    </w:p>
    <w:p>
      <w:pPr>
        <w:pStyle w:val="3"/>
        <w:rPr>
          <w:rFonts w:ascii="仿宋_GB2312" w:eastAsia="仿宋_GB2312"/>
        </w:rPr>
      </w:pPr>
      <w:r>
        <w:rPr>
          <w:rFonts w:hint="eastAsia" w:ascii="仿宋_GB2312" w:eastAsia="仿宋_GB2312"/>
        </w:rPr>
        <w:t>各区人民政府，市政府有关委、办、局：</w:t>
      </w:r>
    </w:p>
    <w:p>
      <w:pPr>
        <w:pStyle w:val="3"/>
        <w:ind w:firstLine="612" w:firstLineChars="196"/>
        <w:rPr>
          <w:rFonts w:eastAsia="仿宋_GB2312"/>
          <w:szCs w:val="32"/>
        </w:rPr>
      </w:pPr>
      <w:r>
        <w:rPr>
          <w:rFonts w:hint="eastAsia" w:eastAsia="仿宋_GB2312"/>
          <w:szCs w:val="32"/>
        </w:rPr>
        <w:t>经市人民政府同意，现将《天津市推动广告产业高质量发展行动方案（2026—2028年）》印发给你们，请照此执行。</w:t>
      </w:r>
    </w:p>
    <w:p>
      <w:pPr>
        <w:pStyle w:val="3"/>
        <w:rPr>
          <w:rFonts w:eastAsia="仿宋_GB2312"/>
          <w:szCs w:val="32"/>
        </w:rPr>
      </w:pPr>
    </w:p>
    <w:p>
      <w:pPr>
        <w:pStyle w:val="3"/>
        <w:keepNext w:val="0"/>
        <w:keepLines w:val="0"/>
        <w:pageBreakBefore w:val="0"/>
        <w:widowControl w:val="0"/>
        <w:kinsoku/>
        <w:overflowPunct/>
        <w:topLinePunct w:val="0"/>
        <w:autoSpaceDE/>
        <w:autoSpaceDN/>
        <w:bidi w:val="0"/>
        <w:adjustRightInd/>
        <w:snapToGrid/>
        <w:spacing w:line="360" w:lineRule="auto"/>
        <w:jc w:val="center"/>
        <w:textAlignment w:val="auto"/>
        <w:rPr>
          <w:rFonts w:eastAsia="仿宋_GB2312"/>
          <w:szCs w:val="32"/>
        </w:rPr>
      </w:pPr>
      <w:r>
        <w:rPr>
          <w:rFonts w:hint="eastAsia" w:ascii="Times New Roman" w:hAnsi="Times New Roman" w:eastAsia="仿宋_GB2312"/>
          <w:szCs w:val="32"/>
          <w:lang w:val="en-US" w:eastAsia="zh-CN"/>
        </w:rPr>
        <w:t xml:space="preserve"> </w:t>
      </w:r>
      <w:r>
        <w:rPr>
          <w:rFonts w:hint="eastAsia" w:eastAsia="仿宋_GB2312"/>
          <w:szCs w:val="32"/>
          <w:lang w:val="en-US" w:eastAsia="zh-CN"/>
        </w:rPr>
        <w:t xml:space="preserve">                       </w:t>
      </w:r>
      <w:r>
        <w:rPr>
          <w:rFonts w:hint="eastAsia" w:ascii="Times New Roman" w:hAnsi="Times New Roman" w:eastAsia="仿宋_GB2312"/>
          <w:szCs w:val="32"/>
          <w:lang w:val="en-US" w:eastAsia="zh-CN"/>
        </w:rPr>
        <w:t>天津市人民政府办公厅</w:t>
      </w:r>
    </w:p>
    <w:p>
      <w:pPr>
        <w:pStyle w:val="3"/>
        <w:wordWrap w:val="0"/>
        <w:jc w:val="right"/>
        <w:rPr>
          <w:rFonts w:eastAsia="仿宋_GB2312"/>
          <w:szCs w:val="32"/>
        </w:rPr>
      </w:pPr>
      <w:r>
        <w:rPr>
          <w:rFonts w:eastAsia="仿宋_GB2312"/>
          <w:szCs w:val="32"/>
        </w:rPr>
        <w:t>2026</w:t>
      </w:r>
      <w:r>
        <w:rPr>
          <w:rFonts w:hint="eastAsia" w:eastAsia="仿宋_GB2312"/>
          <w:szCs w:val="32"/>
        </w:rPr>
        <w:t xml:space="preserve">年7月12日        </w:t>
      </w:r>
    </w:p>
    <w:p>
      <w:pPr>
        <w:pStyle w:val="3"/>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pPr>
        <w:pStyle w:val="3"/>
        <w:snapToGrid w:val="0"/>
        <w:jc w:val="center"/>
        <w:rPr>
          <w:rStyle w:val="12"/>
          <w:rFonts w:hint="eastAsia" w:ascii="方正小标宋简体" w:hAnsi="方正小标宋_GBK" w:eastAsia="方正小标宋简体" w:cs="方正小标宋_GBK"/>
          <w:color w:val="auto"/>
          <w:kern w:val="2"/>
          <w:sz w:val="44"/>
          <w:szCs w:val="44"/>
          <w:u w:val="none"/>
          <w:lang w:val="en" w:eastAsia="zh-CN" w:bidi="ar-SA"/>
        </w:rPr>
      </w:pPr>
      <w:bookmarkStart w:id="0" w:name="_GoBack"/>
      <w:r>
        <w:rPr>
          <w:rStyle w:val="12"/>
          <w:rFonts w:hint="eastAsia" w:ascii="方正小标宋简体" w:hAnsi="方正小标宋_GBK" w:eastAsia="方正小标宋简体" w:cs="方正小标宋_GBK"/>
          <w:color w:val="auto"/>
          <w:kern w:val="2"/>
          <w:sz w:val="44"/>
          <w:szCs w:val="44"/>
          <w:u w:val="none"/>
          <w:lang w:val="en" w:eastAsia="zh-CN" w:bidi="ar-SA"/>
        </w:rPr>
        <w:t>天津市推动广告产业高质量发展行动方案</w:t>
      </w:r>
    </w:p>
    <w:p>
      <w:pPr>
        <w:pStyle w:val="3"/>
        <w:snapToGrid w:val="0"/>
        <w:jc w:val="center"/>
        <w:rPr>
          <w:rStyle w:val="12"/>
          <w:rFonts w:hint="eastAsia" w:ascii="方正小标宋简体" w:hAnsi="方正小标宋_GBK" w:eastAsia="方正小标宋简体" w:cs="方正小标宋_GBK"/>
          <w:color w:val="auto"/>
          <w:kern w:val="2"/>
          <w:sz w:val="44"/>
          <w:szCs w:val="44"/>
          <w:lang w:val="en" w:eastAsia="zh-CN" w:bidi="ar-SA"/>
        </w:rPr>
      </w:pPr>
      <w:r>
        <w:rPr>
          <w:rStyle w:val="12"/>
          <w:rFonts w:hint="eastAsia" w:ascii="方正小标宋简体" w:hAnsi="方正小标宋_GBK" w:eastAsia="方正小标宋简体" w:cs="方正小标宋_GBK"/>
          <w:color w:val="auto"/>
          <w:kern w:val="2"/>
          <w:sz w:val="44"/>
          <w:szCs w:val="44"/>
          <w:u w:val="none"/>
          <w:lang w:val="en" w:eastAsia="zh-CN" w:bidi="ar-SA"/>
        </w:rPr>
        <w:t>（2026—2028年）</w:t>
      </w:r>
      <w:bookmarkEnd w:id="0"/>
    </w:p>
    <w:p>
      <w:pPr>
        <w:pStyle w:val="3"/>
        <w:snapToGrid w:val="0"/>
        <w:rPr>
          <w:rFonts w:eastAsia="仿宋_GB2312"/>
          <w:szCs w:val="32"/>
        </w:rPr>
      </w:pPr>
    </w:p>
    <w:p>
      <w:pPr>
        <w:pStyle w:val="3"/>
        <w:ind w:firstLine="624" w:firstLineChars="200"/>
        <w:rPr>
          <w:rFonts w:eastAsia="仿宋_GB2312"/>
          <w:szCs w:val="32"/>
        </w:rPr>
      </w:pPr>
      <w:r>
        <w:rPr>
          <w:rFonts w:hint="eastAsia" w:eastAsia="仿宋_GB2312"/>
          <w:szCs w:val="32"/>
        </w:rPr>
        <w:t>为加快推动本市广告产业高质量发展，持续激发内生动力和创新活力，制定本行动方案。</w:t>
      </w:r>
    </w:p>
    <w:p>
      <w:pPr>
        <w:pStyle w:val="3"/>
        <w:ind w:firstLine="624" w:firstLineChars="200"/>
        <w:rPr>
          <w:rFonts w:ascii="黑体" w:hAnsi="黑体" w:eastAsia="黑体" w:cs="黑体"/>
          <w:szCs w:val="32"/>
        </w:rPr>
      </w:pPr>
      <w:r>
        <w:rPr>
          <w:rFonts w:hint="eastAsia" w:ascii="黑体" w:hAnsi="黑体" w:eastAsia="黑体" w:cs="黑体"/>
          <w:szCs w:val="32"/>
        </w:rPr>
        <w:t>一、主要目标</w:t>
      </w:r>
    </w:p>
    <w:p>
      <w:pPr>
        <w:pStyle w:val="3"/>
        <w:ind w:firstLine="600" w:firstLineChars="200"/>
        <w:rPr>
          <w:rFonts w:eastAsia="仿宋_GB2312"/>
          <w:szCs w:val="32"/>
        </w:rPr>
      </w:pPr>
      <w:r>
        <w:rPr>
          <w:rFonts w:hint="eastAsia" w:ascii="黑体" w:hAnsi="黑体" w:eastAsia="黑体" w:cs="黑体"/>
          <w:spacing w:val="-6"/>
          <w:szCs w:val="32"/>
        </w:rPr>
        <w:t>——</w:t>
      </w:r>
      <w:r>
        <w:rPr>
          <w:rFonts w:hint="eastAsia" w:ascii="楷体_GB2312" w:hAnsi="楷体_GB2312" w:eastAsia="楷体_GB2312" w:cs="楷体_GB2312"/>
          <w:spacing w:val="-6"/>
          <w:szCs w:val="32"/>
        </w:rPr>
        <w:t>产业规模持续增长。</w:t>
      </w:r>
      <w:r>
        <w:rPr>
          <w:rFonts w:hint="eastAsia" w:eastAsia="仿宋_GB2312"/>
          <w:spacing w:val="-6"/>
          <w:szCs w:val="32"/>
        </w:rPr>
        <w:t>全市广告业务收入以每年不低于</w:t>
      </w:r>
      <w:r>
        <w:rPr>
          <w:rFonts w:hint="eastAsia" w:eastAsia="仿宋_GB2312"/>
          <w:szCs w:val="32"/>
        </w:rPr>
        <w:t>15%的增速稳步增长，到2028年底力争突破500亿元，规模以上广告企业力争达到400家，其中业务收入亿元以上企业力争达到40家。</w:t>
      </w:r>
    </w:p>
    <w:p>
      <w:pPr>
        <w:pStyle w:val="3"/>
        <w:ind w:firstLine="624" w:firstLineChars="200"/>
        <w:rPr>
          <w:rFonts w:eastAsia="仿宋_GB2312"/>
          <w:szCs w:val="32"/>
        </w:rPr>
      </w:pPr>
      <w:r>
        <w:rPr>
          <w:rFonts w:hint="eastAsia" w:ascii="黑体" w:hAnsi="黑体" w:eastAsia="黑体" w:cs="黑体"/>
          <w:szCs w:val="32"/>
        </w:rPr>
        <w:t>——</w:t>
      </w:r>
      <w:r>
        <w:rPr>
          <w:rFonts w:hint="eastAsia" w:ascii="楷体_GB2312" w:hAnsi="楷体_GB2312" w:eastAsia="楷体_GB2312" w:cs="楷体_GB2312"/>
          <w:szCs w:val="32"/>
        </w:rPr>
        <w:t>集聚效能加速释放。</w:t>
      </w:r>
      <w:r>
        <w:rPr>
          <w:rFonts w:hint="eastAsia" w:eastAsia="仿宋_GB2312"/>
          <w:szCs w:val="32"/>
        </w:rPr>
        <w:t>汇聚一大批专业性的广告及关联企业，搭建广告产业发展公共服务平台，形成产业链协同、资源共享的“一核多极”产业集群发展格局。</w:t>
      </w:r>
    </w:p>
    <w:p>
      <w:pPr>
        <w:pStyle w:val="3"/>
        <w:ind w:firstLine="624" w:firstLineChars="200"/>
        <w:rPr>
          <w:rFonts w:eastAsia="仿宋_GB2312"/>
          <w:szCs w:val="32"/>
        </w:rPr>
      </w:pPr>
      <w:r>
        <w:rPr>
          <w:rFonts w:hint="eastAsia" w:ascii="黑体" w:hAnsi="黑体" w:eastAsia="黑体" w:cs="黑体"/>
          <w:szCs w:val="32"/>
        </w:rPr>
        <w:t>——</w:t>
      </w:r>
      <w:r>
        <w:rPr>
          <w:rFonts w:hint="eastAsia" w:ascii="楷体_GB2312" w:hAnsi="楷体_GB2312" w:eastAsia="楷体_GB2312" w:cs="楷体_GB2312"/>
          <w:szCs w:val="32"/>
        </w:rPr>
        <w:t>创新能力不断提升。</w:t>
      </w:r>
      <w:r>
        <w:rPr>
          <w:rFonts w:hint="eastAsia" w:eastAsia="仿宋_GB2312"/>
          <w:szCs w:val="32"/>
        </w:rPr>
        <w:t>推动广告创意、制作、传播全链条数字化赋能，建成一批智库机构和产教融合共同体，到2028年底，数字广告业务收入占广告业务收入比重达到85%以上。</w:t>
      </w:r>
    </w:p>
    <w:p>
      <w:pPr>
        <w:pStyle w:val="3"/>
        <w:ind w:firstLine="624" w:firstLineChars="200"/>
        <w:rPr>
          <w:rFonts w:eastAsia="仿宋_GB2312"/>
          <w:szCs w:val="32"/>
        </w:rPr>
      </w:pPr>
      <w:r>
        <w:rPr>
          <w:rFonts w:hint="eastAsia" w:ascii="黑体" w:hAnsi="黑体" w:eastAsia="黑体" w:cs="黑体"/>
          <w:szCs w:val="32"/>
        </w:rPr>
        <w:t>——</w:t>
      </w:r>
      <w:r>
        <w:rPr>
          <w:rFonts w:hint="eastAsia" w:ascii="楷体_GB2312" w:hAnsi="楷体_GB2312" w:eastAsia="楷体_GB2312" w:cs="楷体_GB2312"/>
          <w:szCs w:val="32"/>
        </w:rPr>
        <w:t>人才支撑持续增强。</w:t>
      </w:r>
      <w:r>
        <w:rPr>
          <w:rFonts w:hint="eastAsia" w:eastAsia="仿宋_GB2312"/>
          <w:szCs w:val="32"/>
        </w:rPr>
        <w:t>健全广告人才引进、培育、留用机制，稳步提升创意设计人才、青年人才、高学历人才占比，高水平从业人员队伍不断壮大。</w:t>
      </w:r>
    </w:p>
    <w:p>
      <w:pPr>
        <w:pStyle w:val="3"/>
        <w:ind w:firstLine="624" w:firstLineChars="200"/>
        <w:rPr>
          <w:rFonts w:eastAsia="仿宋_GB2312"/>
          <w:szCs w:val="32"/>
        </w:rPr>
      </w:pPr>
      <w:r>
        <w:rPr>
          <w:rFonts w:hint="eastAsia" w:ascii="黑体" w:hAnsi="黑体" w:eastAsia="黑体" w:cs="黑体"/>
          <w:szCs w:val="32"/>
        </w:rPr>
        <w:t>——</w:t>
      </w:r>
      <w:r>
        <w:rPr>
          <w:rFonts w:hint="eastAsia" w:ascii="楷体_GB2312" w:hAnsi="楷体_GB2312" w:eastAsia="楷体_GB2312" w:cs="楷体_GB2312"/>
          <w:szCs w:val="32"/>
        </w:rPr>
        <w:t>产业生态不断优化。</w:t>
      </w:r>
      <w:r>
        <w:rPr>
          <w:rFonts w:hint="eastAsia" w:eastAsia="仿宋_GB2312"/>
          <w:szCs w:val="32"/>
        </w:rPr>
        <w:t>提供更加高效便捷的政务服务，建立健全广告市场容错纠错机制，降低企业合规成本，营造公平竞争、规范有序、创新活跃的广告市场环境。</w:t>
      </w:r>
    </w:p>
    <w:p>
      <w:pPr>
        <w:pStyle w:val="3"/>
        <w:ind w:firstLine="624" w:firstLineChars="200"/>
        <w:rPr>
          <w:rFonts w:ascii="黑体" w:hAnsi="黑体" w:eastAsia="黑体" w:cs="黑体"/>
          <w:szCs w:val="32"/>
        </w:rPr>
      </w:pPr>
      <w:r>
        <w:rPr>
          <w:rFonts w:hint="eastAsia" w:ascii="黑体" w:hAnsi="黑体" w:eastAsia="黑体" w:cs="黑体"/>
          <w:szCs w:val="32"/>
        </w:rPr>
        <w:t>二、重点任务</w:t>
      </w:r>
    </w:p>
    <w:p>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（一）强化经营主体引育，壮大产业规模体量</w:t>
      </w:r>
    </w:p>
    <w:p>
      <w:pPr>
        <w:pStyle w:val="3"/>
        <w:ind w:firstLine="624" w:firstLineChars="200"/>
        <w:rPr>
          <w:rFonts w:eastAsia="仿宋_GB2312"/>
          <w:szCs w:val="32"/>
        </w:rPr>
      </w:pPr>
      <w:r>
        <w:rPr>
          <w:rFonts w:hint="eastAsia" w:eastAsia="仿宋_GB2312"/>
          <w:szCs w:val="32"/>
        </w:rPr>
        <w:t>1</w:t>
      </w:r>
      <w:r>
        <w:rPr>
          <w:rFonts w:eastAsia="仿宋_GB2312"/>
        </w:rPr>
        <w:t>．</w:t>
      </w:r>
      <w:r>
        <w:rPr>
          <w:rFonts w:hint="eastAsia" w:eastAsia="仿宋_GB2312"/>
          <w:szCs w:val="32"/>
        </w:rPr>
        <w:t>培育优质实力企业。聚焦短视频信息流、电商直播营销、数字内容创意等数字广告主流业态，做好广告企业梯度培育。</w:t>
      </w:r>
      <w:r>
        <w:rPr>
          <w:rFonts w:hint="eastAsia" w:ascii="楷体_GB2312" w:hAnsi="楷体_GB2312" w:eastAsia="楷体_GB2312" w:cs="楷体_GB2312"/>
          <w:szCs w:val="32"/>
        </w:rPr>
        <w:t>（责任部门：市市场监管委、市发展改革委）</w:t>
      </w:r>
      <w:r>
        <w:rPr>
          <w:rFonts w:hint="eastAsia" w:eastAsia="仿宋_GB2312"/>
          <w:szCs w:val="32"/>
        </w:rPr>
        <w:t>支持广告企业依法通过并购、重组方式实现品牌化、集团化发展。</w:t>
      </w:r>
      <w:r>
        <w:rPr>
          <w:rFonts w:hint="eastAsia" w:ascii="楷体_GB2312" w:hAnsi="楷体_GB2312" w:eastAsia="楷体_GB2312" w:cs="楷体_GB2312"/>
          <w:szCs w:val="32"/>
        </w:rPr>
        <w:t>（责任部门：市市场监管委）</w:t>
      </w:r>
      <w:r>
        <w:rPr>
          <w:rFonts w:hint="eastAsia" w:eastAsia="仿宋_GB2312"/>
          <w:szCs w:val="32"/>
        </w:rPr>
        <w:t>支持符合条件的数字广告企业申报专精特新“小巨人”，加快实现专业化、精细化、特色化发展。</w:t>
      </w:r>
      <w:r>
        <w:rPr>
          <w:rFonts w:hint="eastAsia" w:ascii="楷体_GB2312" w:hAnsi="楷体_GB2312" w:eastAsia="楷体_GB2312" w:cs="楷体_GB2312"/>
          <w:szCs w:val="32"/>
        </w:rPr>
        <w:t>（责任部门：市工业和信息化局）</w:t>
      </w:r>
      <w:r>
        <w:rPr>
          <w:rFonts w:hint="eastAsia" w:eastAsia="仿宋_GB2312"/>
          <w:szCs w:val="32"/>
        </w:rPr>
        <w:t>支持符合条件的数字广告企业申报国家科技型中小企业、国家高新技术企业等资质，按规定落实所得税优惠税率、研发费加计扣除等税收优惠政策。鼓励具备国家科技型中小企业或国家高新技术企业资质的数字广告企业，通过购置科研仪器设备、建设内设研发机构等方式提升研发能力；支持广告企业牵头组建创新联合体和产教融合共同体，开展“卡脖子”技术和前沿引领性技术攻关，按照国家和本市支持科技型企业高质量发展相关政策给予支持。</w:t>
      </w:r>
      <w:r>
        <w:rPr>
          <w:rFonts w:hint="eastAsia" w:ascii="楷体_GB2312" w:hAnsi="楷体_GB2312" w:eastAsia="楷体_GB2312" w:cs="楷体_GB2312"/>
          <w:szCs w:val="32"/>
        </w:rPr>
        <w:t>（责任部门：市科技局、市税务局、市教委、市市场监管委、市财政局）</w:t>
      </w:r>
    </w:p>
    <w:p>
      <w:pPr>
        <w:pStyle w:val="3"/>
        <w:ind w:firstLine="624" w:firstLineChars="200"/>
        <w:rPr>
          <w:rFonts w:eastAsia="仿宋_GB2312"/>
          <w:szCs w:val="32"/>
        </w:rPr>
      </w:pPr>
      <w:r>
        <w:rPr>
          <w:rFonts w:hint="eastAsia" w:eastAsia="仿宋_GB2312"/>
          <w:szCs w:val="32"/>
        </w:rPr>
        <w:t>2</w:t>
      </w:r>
      <w:r>
        <w:rPr>
          <w:rFonts w:eastAsia="仿宋_GB2312"/>
        </w:rPr>
        <w:t>．</w:t>
      </w:r>
      <w:r>
        <w:rPr>
          <w:rFonts w:hint="eastAsia" w:eastAsia="仿宋_GB2312"/>
          <w:szCs w:val="32"/>
        </w:rPr>
        <w:t>助力中小微企业发展。支持引导中小微广告企业向细分赛道转型，拓展新兴业态，发挥灵活经营优势，依托技术普惠实现低成本市场突破。</w:t>
      </w:r>
      <w:r>
        <w:rPr>
          <w:rFonts w:hint="eastAsia" w:ascii="楷体_GB2312" w:hAnsi="楷体_GB2312" w:eastAsia="楷体_GB2312" w:cs="楷体_GB2312"/>
          <w:szCs w:val="32"/>
        </w:rPr>
        <w:t>（责任部门：市市场监管委）</w:t>
      </w:r>
      <w:r>
        <w:rPr>
          <w:rFonts w:hint="eastAsia" w:eastAsia="仿宋_GB2312"/>
          <w:szCs w:val="32"/>
        </w:rPr>
        <w:t>培育一人公司（OPC）创业生态，给予主体登记、代理记账等配套政策支持，鼓励在校大学生、创意达人、流量网红等多元主体经营广告业务，推动广告领域成长型个体工商户“个转企”</w:t>
      </w:r>
      <w:r>
        <w:rPr>
          <w:rFonts w:hint="eastAsia" w:ascii="仿宋_GB2312" w:hAnsi="仿宋_GB2312" w:eastAsia="仿宋_GB2312" w:cs="仿宋_GB2312"/>
          <w:szCs w:val="32"/>
        </w:rPr>
        <w:t>，构建“小升规、规入统”全周期成长链条</w:t>
      </w:r>
      <w:r>
        <w:rPr>
          <w:rFonts w:hint="eastAsia" w:eastAsia="仿宋_GB2312"/>
          <w:szCs w:val="32"/>
        </w:rPr>
        <w:t>。</w:t>
      </w:r>
      <w:r>
        <w:rPr>
          <w:rFonts w:hint="eastAsia" w:ascii="楷体_GB2312" w:hAnsi="楷体_GB2312" w:eastAsia="楷体_GB2312" w:cs="楷体_GB2312"/>
          <w:szCs w:val="32"/>
        </w:rPr>
        <w:t>（责任部门：市市场监管委、市教委、市统计局）</w:t>
      </w:r>
      <w:r>
        <w:rPr>
          <w:rFonts w:hint="eastAsia" w:eastAsia="仿宋_GB2312"/>
          <w:szCs w:val="32"/>
        </w:rPr>
        <w:t>支持建设开源社区、词元服务平台等公共技术服务平台，面向中小微广告企业和OPC开放共享。</w:t>
      </w:r>
      <w:r>
        <w:rPr>
          <w:rFonts w:hint="eastAsia" w:ascii="楷体_GB2312" w:hAnsi="楷体_GB2312" w:eastAsia="楷体_GB2312" w:cs="楷体_GB2312"/>
          <w:szCs w:val="32"/>
        </w:rPr>
        <w:t>（责任部门：市工业和信息化局、市科技局）</w:t>
      </w:r>
      <w:r>
        <w:rPr>
          <w:rFonts w:hint="eastAsia" w:eastAsia="仿宋_GB2312"/>
          <w:szCs w:val="32"/>
        </w:rPr>
        <w:t>落实中小微企业普惠性税收优惠政策，做好政策宣传解读，减轻中小微广告企业负担。</w:t>
      </w:r>
      <w:r>
        <w:rPr>
          <w:rFonts w:hint="eastAsia" w:ascii="楷体_GB2312" w:hAnsi="楷体_GB2312" w:eastAsia="楷体_GB2312" w:cs="楷体_GB2312"/>
          <w:szCs w:val="32"/>
        </w:rPr>
        <w:t>（责任部门：市税务局）</w:t>
      </w:r>
    </w:p>
    <w:p>
      <w:pPr>
        <w:pStyle w:val="3"/>
        <w:ind w:firstLine="624" w:firstLineChars="200"/>
        <w:rPr>
          <w:rFonts w:eastAsia="仿宋_GB2312"/>
          <w:szCs w:val="32"/>
        </w:rPr>
      </w:pPr>
      <w:r>
        <w:rPr>
          <w:rFonts w:hint="eastAsia" w:eastAsia="仿宋_GB2312"/>
          <w:szCs w:val="32"/>
        </w:rPr>
        <w:t>3</w:t>
      </w:r>
      <w:r>
        <w:rPr>
          <w:rFonts w:eastAsia="仿宋_GB2312"/>
        </w:rPr>
        <w:t>．</w:t>
      </w:r>
      <w:r>
        <w:rPr>
          <w:rFonts w:hint="eastAsia" w:eastAsia="仿宋_GB2312"/>
          <w:szCs w:val="32"/>
        </w:rPr>
        <w:t>塑造产业集聚优势。推动天津滨海国家广告产业园区提质升级，加快布局数字广告新业态，建设完善“未来营”创业者生态社区。对符合条件的广告产业项目按规定给予政策支持。</w:t>
      </w:r>
      <w:r>
        <w:rPr>
          <w:rFonts w:hint="eastAsia" w:ascii="楷体_GB2312" w:hAnsi="楷体_GB2312" w:eastAsia="楷体_GB2312" w:cs="楷体_GB2312"/>
          <w:szCs w:val="32"/>
        </w:rPr>
        <w:t>（责任部门：市市场监管委、市发展改革委）</w:t>
      </w:r>
      <w:r>
        <w:rPr>
          <w:rFonts w:hint="eastAsia" w:eastAsia="仿宋_GB2312"/>
          <w:szCs w:val="32"/>
        </w:rPr>
        <w:t>推动天津滨海国家广告产业园区深化与天开高教科创园、天津“设计之都”核心区及各类文化产业园、数字产业园等联动，组建广告产业联合体，探索“飞地”孵化模式，搭建跨园区链接节点，健全联合招商、项目共建、成果转化收益分成等机制，实现要素共享、产业互补。</w:t>
      </w:r>
      <w:r>
        <w:rPr>
          <w:rFonts w:hint="eastAsia" w:ascii="楷体_GB2312" w:hAnsi="楷体_GB2312" w:eastAsia="楷体_GB2312" w:cs="楷体_GB2312"/>
          <w:szCs w:val="32"/>
        </w:rPr>
        <w:t>（责任部门：市市场监管委、市发展改革委、市科技局、市文化和旅游局）</w:t>
      </w:r>
      <w:r>
        <w:rPr>
          <w:rFonts w:hint="eastAsia" w:eastAsia="仿宋_GB2312"/>
          <w:szCs w:val="32"/>
        </w:rPr>
        <w:t>引导广告产业集群发展，打通产业链上下游，扎实推进补链延链强链，推行“牵头企业发包、中小企业接单”模式，培育特色鲜明、协同联动的广告产业集群。</w:t>
      </w:r>
      <w:r>
        <w:rPr>
          <w:rFonts w:hint="eastAsia" w:ascii="楷体_GB2312" w:hAnsi="楷体_GB2312" w:eastAsia="楷体_GB2312" w:cs="楷体_GB2312"/>
          <w:szCs w:val="32"/>
        </w:rPr>
        <w:t>（责任部门：市市场监管委、市发展改革委、市教委）</w:t>
      </w:r>
    </w:p>
    <w:p>
      <w:pPr>
        <w:pStyle w:val="3"/>
        <w:tabs>
          <w:tab w:val="left" w:pos="402"/>
        </w:tabs>
        <w:ind w:firstLine="624" w:firstLineChars="200"/>
        <w:rPr>
          <w:rFonts w:eastAsia="仿宋_GB2312"/>
          <w:szCs w:val="32"/>
        </w:rPr>
      </w:pPr>
      <w:r>
        <w:rPr>
          <w:rFonts w:hint="eastAsia" w:eastAsia="仿宋_GB2312"/>
          <w:szCs w:val="32"/>
        </w:rPr>
        <w:t>4</w:t>
      </w:r>
      <w:r>
        <w:rPr>
          <w:rFonts w:eastAsia="仿宋_GB2312"/>
        </w:rPr>
        <w:t>．</w:t>
      </w:r>
      <w:r>
        <w:rPr>
          <w:rFonts w:hint="eastAsia" w:eastAsia="仿宋_GB2312"/>
          <w:szCs w:val="32"/>
        </w:rPr>
        <w:t>加大招商引资力度。聚焦广告创意、数字营销、品牌服务等领域，积极吸引国内外广告企业、互联网平台、多频道网络（MCN）机构来津设立总部（区域总部）、数据运营中心和研发设计机构；拓展产业链上下游招商，有针对性引进一批高关联企业和高水平数字产业项目。</w:t>
      </w:r>
      <w:r>
        <w:rPr>
          <w:rFonts w:hint="eastAsia" w:ascii="楷体_GB2312" w:hAnsi="楷体_GB2312" w:eastAsia="楷体_GB2312" w:cs="楷体_GB2312"/>
          <w:szCs w:val="32"/>
        </w:rPr>
        <w:t>（责任部门：市投资促进局、市市场监管委、市商务局）</w:t>
      </w:r>
    </w:p>
    <w:p>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（二）加快产业数智升级，提升核心竞争能力</w:t>
      </w:r>
    </w:p>
    <w:p>
      <w:pPr>
        <w:pStyle w:val="3"/>
        <w:ind w:firstLine="624" w:firstLineChars="200"/>
        <w:rPr>
          <w:rFonts w:eastAsia="仿宋_GB2312"/>
          <w:szCs w:val="32"/>
        </w:rPr>
      </w:pPr>
      <w:r>
        <w:rPr>
          <w:rFonts w:hint="eastAsia" w:eastAsia="仿宋_GB2312"/>
          <w:szCs w:val="32"/>
        </w:rPr>
        <w:t>5</w:t>
      </w:r>
      <w:r>
        <w:rPr>
          <w:rFonts w:eastAsia="仿宋_GB2312"/>
        </w:rPr>
        <w:t>．</w:t>
      </w:r>
      <w:r>
        <w:rPr>
          <w:rFonts w:hint="eastAsia" w:eastAsia="仿宋_GB2312"/>
          <w:szCs w:val="32"/>
        </w:rPr>
        <w:t>壮大数字广告新业态。加快海河传媒等传统媒体广告数字化转型，推动传统媒体与新媒体有机融合，提升广告传播效果和营销水平。</w:t>
      </w:r>
      <w:r>
        <w:rPr>
          <w:rFonts w:hint="eastAsia" w:ascii="楷体_GB2312" w:hAnsi="楷体_GB2312" w:eastAsia="楷体_GB2312" w:cs="楷体_GB2312"/>
          <w:szCs w:val="32"/>
        </w:rPr>
        <w:t>（责任部门：市委宣传部、市文化和旅游局）</w:t>
      </w:r>
      <w:r>
        <w:rPr>
          <w:rFonts w:hint="eastAsia" w:eastAsia="仿宋_GB2312"/>
          <w:szCs w:val="32"/>
        </w:rPr>
        <w:t>开展“人工智能</w:t>
      </w:r>
      <w:r>
        <w:rPr>
          <w:rFonts w:hint="eastAsia" w:ascii="仿宋_GB2312" w:hAnsi="仿宋_GB2312" w:eastAsia="仿宋_GB2312" w:cs="仿宋_GB2312"/>
          <w:szCs w:val="32"/>
        </w:rPr>
        <w:t>+</w:t>
      </w:r>
      <w:r>
        <w:rPr>
          <w:rFonts w:hint="eastAsia" w:eastAsia="仿宋_GB2312"/>
          <w:szCs w:val="32"/>
        </w:rPr>
        <w:t>数字广告”推广行动，着力以大数据、云计算等技术赋能广告产业，支持广告设计制作、效果监测等软硬件研发应用，加强人工智能生成内容（AIGC）在广告领域的研发应用；支持广告企业租用智能算力或超级算力资源，开展本领域人工智能垂类大模型训练推理、数据标注、数据分析等算力应用。</w:t>
      </w:r>
      <w:r>
        <w:rPr>
          <w:rFonts w:hint="eastAsia" w:ascii="楷体_GB2312" w:hAnsi="楷体_GB2312" w:eastAsia="楷体_GB2312" w:cs="楷体_GB2312"/>
          <w:szCs w:val="32"/>
        </w:rPr>
        <w:t>（责任部门：市市场监管委、市数据局、市财政局）</w:t>
      </w:r>
    </w:p>
    <w:p>
      <w:pPr>
        <w:pStyle w:val="3"/>
        <w:ind w:firstLine="624" w:firstLineChars="200"/>
        <w:rPr>
          <w:rFonts w:eastAsia="仿宋_GB2312"/>
          <w:szCs w:val="32"/>
        </w:rPr>
      </w:pPr>
      <w:r>
        <w:rPr>
          <w:rFonts w:hint="eastAsia" w:eastAsia="仿宋_GB2312"/>
          <w:szCs w:val="32"/>
        </w:rPr>
        <w:t>6</w:t>
      </w:r>
      <w:r>
        <w:rPr>
          <w:rFonts w:eastAsia="仿宋_GB2312"/>
        </w:rPr>
        <w:t>．</w:t>
      </w:r>
      <w:r>
        <w:rPr>
          <w:rFonts w:hint="eastAsia" w:eastAsia="仿宋_GB2312"/>
          <w:szCs w:val="32"/>
        </w:rPr>
        <w:t>提升创意设计服务效能。支持举办广告创意设计大赛等各类活动，鼓励运用人工智能等新技术探索广告创意新形态，大力推广优秀参赛作品，激发广告创意创新活力，提升天津广告创意设计整体水平和知名度。</w:t>
      </w:r>
      <w:r>
        <w:rPr>
          <w:rFonts w:hint="eastAsia" w:ascii="楷体_GB2312" w:hAnsi="楷体_GB2312" w:eastAsia="楷体_GB2312" w:cs="楷体_GB2312"/>
          <w:szCs w:val="32"/>
        </w:rPr>
        <w:t>（责任部门：市市场监管委、市教委）</w:t>
      </w:r>
      <w:r>
        <w:rPr>
          <w:rFonts w:hint="eastAsia" w:eastAsia="仿宋_GB2312"/>
          <w:szCs w:val="32"/>
        </w:rPr>
        <w:t>将广告创意设计纳入天津市文化产业发展项目重点支持方向，持续强化高端创意策划与品牌塑造能力。</w:t>
      </w:r>
      <w:r>
        <w:rPr>
          <w:rFonts w:hint="eastAsia" w:ascii="楷体_GB2312" w:hAnsi="楷体_GB2312" w:eastAsia="楷体_GB2312" w:cs="楷体_GB2312"/>
          <w:szCs w:val="32"/>
        </w:rPr>
        <w:t>（责任部门：市委宣传部、市财政局、市市场监管委）</w:t>
      </w:r>
      <w:r>
        <w:rPr>
          <w:rFonts w:hint="eastAsia" w:eastAsia="仿宋_GB2312"/>
          <w:szCs w:val="32"/>
        </w:rPr>
        <w:t>推动广告创意技术与地方文化深度融合，引导在人工智能技术层软件算法研发中融入“津味”文化元素，弥补人工智能设计模式化短板，实现更加个性化的人工智能广告设计。</w:t>
      </w:r>
      <w:r>
        <w:rPr>
          <w:rFonts w:hint="eastAsia" w:ascii="楷体_GB2312" w:hAnsi="楷体_GB2312" w:eastAsia="楷体_GB2312" w:cs="楷体_GB2312"/>
          <w:szCs w:val="32"/>
        </w:rPr>
        <w:t>（责任部门：市市场监管委）</w:t>
      </w:r>
    </w:p>
    <w:p>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（三）着力推进产业融合，拓宽广告发展空间</w:t>
      </w:r>
    </w:p>
    <w:p>
      <w:pPr>
        <w:pStyle w:val="3"/>
        <w:ind w:firstLine="624" w:firstLineChars="200"/>
        <w:rPr>
          <w:rFonts w:ascii="楷体_GB2312" w:hAnsi="楷体_GB2312" w:eastAsia="楷体_GB2312" w:cs="楷体_GB2312"/>
          <w:szCs w:val="32"/>
        </w:rPr>
      </w:pPr>
      <w:r>
        <w:rPr>
          <w:rFonts w:hint="eastAsia" w:eastAsia="仿宋_GB2312"/>
          <w:szCs w:val="32"/>
        </w:rPr>
        <w:t>7</w:t>
      </w:r>
      <w:r>
        <w:rPr>
          <w:rFonts w:eastAsia="仿宋_GB2312"/>
        </w:rPr>
        <w:t>．</w:t>
      </w:r>
      <w:r>
        <w:rPr>
          <w:rFonts w:hint="eastAsia" w:eastAsia="仿宋_GB2312"/>
          <w:szCs w:val="32"/>
        </w:rPr>
        <w:t>加快产业融合发展。推动广告产业与文化、商业、农业、旅游、制造业等产业深度融合，结合非遗项目、津派文化、老字号、特色美食、旅游资源、名优特色产品等禀赋优势，搭建多层次、专业化宣传平台。支持广告企业创新策划和营销模式，提供品牌核心价值开发、视觉形象系统重塑、目标客群精准定位、线上线下整合推广的一体化服务。用好天津会展资源，构建“展会搭台、广告赋能、产业受益”的发展生态，促进供需对接，提升品牌形象，彰显地域文化，打造城市特色，激活多产业融合发展动能。</w:t>
      </w:r>
      <w:r>
        <w:rPr>
          <w:rFonts w:hint="eastAsia" w:ascii="楷体_GB2312" w:hAnsi="楷体_GB2312" w:eastAsia="楷体_GB2312" w:cs="楷体_GB2312"/>
          <w:szCs w:val="32"/>
        </w:rPr>
        <w:t>（责任部门：市市场监管委、市农业农村委、市商务局、市文化和旅游局）</w:t>
      </w:r>
    </w:p>
    <w:p>
      <w:pPr>
        <w:pStyle w:val="3"/>
        <w:ind w:firstLine="624" w:firstLineChars="200"/>
        <w:rPr>
          <w:rFonts w:eastAsia="楷体_GB2312"/>
          <w:szCs w:val="32"/>
        </w:rPr>
      </w:pPr>
      <w:r>
        <w:rPr>
          <w:rFonts w:hint="eastAsia" w:eastAsia="仿宋_GB2312"/>
          <w:szCs w:val="32"/>
        </w:rPr>
        <w:t>8</w:t>
      </w:r>
      <w:r>
        <w:rPr>
          <w:rFonts w:eastAsia="仿宋_GB2312"/>
        </w:rPr>
        <w:t>．</w:t>
      </w:r>
      <w:r>
        <w:rPr>
          <w:rFonts w:hint="eastAsia" w:eastAsia="仿宋_GB2312"/>
          <w:szCs w:val="32"/>
        </w:rPr>
        <w:t>广泛拓展应用场景。推动户外广告设施数字化转型升级，打造地铁数字长廊、智能电梯屏、智能公交站台、裸眼3D大屏等新型载体。深度融合城市形象塑造与商业品牌传播，盘活机场、火车站等交通枢纽和道路两侧、广场等城市公共空间户外广告设施，优化沿街沿河商铺户外招牌设置管理，鼓励打造“一店一风格”、“一户一风貌”的个性化招牌，充分彰显津门街区特色与城市风貌。创新广告服务消费模式，推动构建体验购物、智慧商圈、智慧场馆、智慧景区、智慧公园等沉浸式消费场景，助力打造运河畅游、海河文旅、洋楼品鉴、低空观光等特色品牌；围绕推进“站产城”融合发展，优化高铁站点周边广告场景布局，引入国潮时尚、艺术展演等新场景，支持首发、首秀、首展、首演等活动，提升消费体验，激发消费意愿，释放消费潜力。结合城市更新，推动金街、文化中心、五大道、意式风情区等地标商圈广告业态升级，全面提升天津海河夜景灯光秀品质，植入品牌发布、场景体验、城市形象展示等功能，构建与消费者实时互动的特色场景，推动传统观光打卡地向沉浸式新消费场景迭代升级，打造兼具品质格调、人文温度和国际风范的“城市会客厅”。</w:t>
      </w:r>
      <w:r>
        <w:rPr>
          <w:rFonts w:hint="eastAsia" w:ascii="楷体_GB2312" w:hAnsi="楷体_GB2312" w:eastAsia="楷体_GB2312" w:cs="楷体_GB2312"/>
          <w:szCs w:val="32"/>
        </w:rPr>
        <w:t>（责任部门：市城市管理委、市文化和旅游局、市商务局）</w:t>
      </w:r>
    </w:p>
    <w:p>
      <w:pPr>
        <w:pStyle w:val="3"/>
        <w:ind w:firstLine="624" w:firstLineChars="200"/>
        <w:rPr>
          <w:rFonts w:ascii="楷体_GB2312" w:hAnsi="楷体_GB2312" w:eastAsia="楷体_GB2312" w:cs="楷体_GB2312"/>
          <w:szCs w:val="32"/>
        </w:rPr>
      </w:pPr>
      <w:r>
        <w:rPr>
          <w:rFonts w:hint="eastAsia" w:eastAsia="仿宋_GB2312"/>
          <w:szCs w:val="32"/>
        </w:rPr>
        <w:t>9</w:t>
      </w:r>
      <w:r>
        <w:rPr>
          <w:rFonts w:eastAsia="仿宋_GB2312"/>
        </w:rPr>
        <w:t>．</w:t>
      </w:r>
      <w:r>
        <w:rPr>
          <w:rFonts w:hint="eastAsia" w:eastAsia="仿宋_GB2312"/>
          <w:szCs w:val="32"/>
        </w:rPr>
        <w:t>深化区域协同与对外交流合作。落实《京津冀广告业高质量发展合作协议》，持续推动三地广告产业交流合作，促进产、学、研、媒融合发展，打造优势互补、协同发展的区域广告产业发展格局。</w:t>
      </w:r>
      <w:r>
        <w:rPr>
          <w:rFonts w:hint="eastAsia" w:ascii="楷体_GB2312" w:hAnsi="楷体_GB2312" w:eastAsia="楷体_GB2312" w:cs="楷体_GB2312"/>
          <w:szCs w:val="32"/>
        </w:rPr>
        <w:t>（责任部门：市市场监管委、市文化和旅游局、市教委）</w:t>
      </w:r>
      <w:r>
        <w:rPr>
          <w:rFonts w:hint="eastAsia" w:eastAsia="仿宋_GB2312"/>
          <w:szCs w:val="32"/>
        </w:rPr>
        <w:t>鼓励广告企业与优势产业、优质品牌协同“出海”，开展跨境布局，促进“天津制造”、“天津品牌”国际化发展。</w:t>
      </w:r>
      <w:r>
        <w:rPr>
          <w:rFonts w:hint="eastAsia" w:ascii="仿宋_GB2312" w:hAnsi="仿宋_GB2312" w:eastAsia="仿宋_GB2312" w:cs="仿宋_GB2312"/>
          <w:szCs w:val="32"/>
        </w:rPr>
        <w:t>鼓励广告企业通过参与境内外展会活动，深化行业交流协作。</w:t>
      </w:r>
      <w:r>
        <w:rPr>
          <w:rFonts w:hint="eastAsia" w:ascii="楷体_GB2312" w:hAnsi="楷体_GB2312" w:eastAsia="楷体_GB2312" w:cs="楷体_GB2312"/>
          <w:szCs w:val="32"/>
        </w:rPr>
        <w:t>（责任部门：市商务局、市市场监管委）</w:t>
      </w:r>
    </w:p>
    <w:p>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（四）建强人才引育体系，培育高素质广告人才</w:t>
      </w:r>
    </w:p>
    <w:p>
      <w:pPr>
        <w:pStyle w:val="3"/>
        <w:ind w:firstLine="624" w:firstLineChars="200"/>
        <w:rPr>
          <w:rFonts w:ascii="楷体_GB2312" w:hAnsi="楷体_GB2312" w:eastAsia="楷体_GB2312" w:cs="楷体_GB2312"/>
          <w:szCs w:val="32"/>
        </w:rPr>
      </w:pPr>
      <w:r>
        <w:rPr>
          <w:rFonts w:hint="eastAsia" w:eastAsia="仿宋_GB2312"/>
          <w:szCs w:val="32"/>
        </w:rPr>
        <w:t>10</w:t>
      </w:r>
      <w:r>
        <w:rPr>
          <w:rFonts w:eastAsia="仿宋_GB2312"/>
        </w:rPr>
        <w:t>．</w:t>
      </w:r>
      <w:r>
        <w:rPr>
          <w:rFonts w:hint="eastAsia" w:eastAsia="仿宋_GB2312"/>
          <w:szCs w:val="32"/>
        </w:rPr>
        <w:t>加强人才队伍建设。深入实施“海河英才”行动计划，对符合条件的广告领域高层次人才给予专项支持。做好广告相关专业职称评审与职业技能等级认定工作，健全人才评价标准，探索将“人工智能广告创作”、“数字广告优化”等纳入专项职业能力考核项目，夯实广告产业人才根基。搭建人才供需对接平台，每年举办2场广告领域就业双选会，对符合条件的广告企业吸纳本市毕业年度和离校2年内未就业的高校毕业生（含本市高校毕业生和本市生源外省市高校毕业生）就业，按规定给予社保补贴和岗位补贴。支持举办广告领域职业技能培训、竞赛活动，指导帮助广告从业者提升专业技能。</w:t>
      </w:r>
      <w:r>
        <w:rPr>
          <w:rFonts w:hint="eastAsia" w:ascii="楷体_GB2312" w:hAnsi="楷体_GB2312" w:eastAsia="楷体_GB2312" w:cs="楷体_GB2312"/>
          <w:szCs w:val="32"/>
        </w:rPr>
        <w:t>（责任部门：市人社局）</w:t>
      </w:r>
    </w:p>
    <w:p>
      <w:pPr>
        <w:pStyle w:val="3"/>
        <w:ind w:firstLine="624" w:firstLineChars="200"/>
        <w:rPr>
          <w:rFonts w:eastAsia="仿宋_GB2312"/>
          <w:szCs w:val="32"/>
        </w:rPr>
      </w:pPr>
      <w:r>
        <w:rPr>
          <w:rFonts w:eastAsia="楷体_GB2312"/>
          <w:szCs w:val="32"/>
        </w:rPr>
        <w:t>11</w:t>
      </w:r>
      <w:r>
        <w:rPr>
          <w:rFonts w:eastAsia="仿宋_GB2312"/>
        </w:rPr>
        <w:t>．</w:t>
      </w:r>
      <w:r>
        <w:rPr>
          <w:rFonts w:hint="eastAsia" w:eastAsia="仿宋_GB2312"/>
          <w:szCs w:val="32"/>
        </w:rPr>
        <w:t>深化产教融合创新。指导天津师范大学、天津美术学院、天津商务职业学院等设立广告及相关专业的高校，结合广告产业数智化发展趋势，完善专业人才培养方案，动态调整课程设置，增设智能广告设计、数字营销战略、广告数据分析、人工智能创意应用等前沿课程；推动教学模式改革，提高案例教学、项目实训、企业实习等实践性教学环节比重，着力培养适应广告产业高质量发展要求的复合型、实战型广告人才。推动高校、科研机构与企业共建人才培养基地、实训基地、创意工作室等，鼓励广告及相关专业在校学生开展行业实习锻炼。支持在校学生参加全国大学生广告艺术大赛、中国大学生广告艺术节学院奖征集大赛等广告创意赛事，鼓励相关院校将赛事获奖情况纳入在校学生评定体系。</w:t>
      </w:r>
      <w:r>
        <w:rPr>
          <w:rFonts w:hint="eastAsia" w:ascii="楷体_GB2312" w:hAnsi="楷体_GB2312" w:eastAsia="楷体_GB2312" w:cs="楷体_GB2312"/>
          <w:szCs w:val="32"/>
        </w:rPr>
        <w:t>（责任部门：市教委）</w:t>
      </w:r>
    </w:p>
    <w:p>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（五）夯实产业要素支撑，强化发展基础保障</w:t>
      </w:r>
    </w:p>
    <w:p>
      <w:pPr>
        <w:pStyle w:val="3"/>
        <w:ind w:firstLine="624" w:firstLineChars="200"/>
        <w:rPr>
          <w:rFonts w:eastAsia="仿宋_GB2312"/>
          <w:szCs w:val="32"/>
        </w:rPr>
      </w:pPr>
      <w:r>
        <w:rPr>
          <w:rFonts w:hint="eastAsia" w:eastAsia="仿宋_GB2312"/>
          <w:szCs w:val="32"/>
        </w:rPr>
        <w:t>12</w:t>
      </w:r>
      <w:r>
        <w:rPr>
          <w:rFonts w:eastAsia="仿宋_GB2312"/>
        </w:rPr>
        <w:t>．</w:t>
      </w:r>
      <w:r>
        <w:rPr>
          <w:rFonts w:hint="eastAsia" w:eastAsia="仿宋_GB2312"/>
          <w:szCs w:val="32"/>
        </w:rPr>
        <w:t>搭建公共服务平台。坚持政府引导、市场运作、行业协同、数字赋能，围绕政务服务</w:t>
      </w:r>
      <w:r>
        <w:rPr>
          <w:rFonts w:hint="eastAsia" w:ascii="仿宋_GB2312" w:hAnsi="仿宋_GB2312" w:eastAsia="仿宋_GB2312" w:cs="仿宋_GB2312"/>
          <w:szCs w:val="32"/>
        </w:rPr>
        <w:t>、合规经营、技术赋能、人才培育、金融支撑、</w:t>
      </w:r>
      <w:r>
        <w:rPr>
          <w:rFonts w:hint="eastAsia" w:eastAsia="仿宋_GB2312"/>
          <w:szCs w:val="32"/>
        </w:rPr>
        <w:t>供需对接六大模块，搭建一站式、全链条、开放共享的广告产业发展公共服务平台，助力广告企业高质量发展。支持全国人工智能广告行业产教融合共同体等组织发展，与相关高校和企业共建创新创业基地、技术应用平台、品牌人工智能实验室等载体，推动广告项目场景化落地。</w:t>
      </w:r>
      <w:r>
        <w:rPr>
          <w:rFonts w:hint="eastAsia" w:ascii="楷体_GB2312" w:hAnsi="楷体_GB2312" w:eastAsia="楷体_GB2312" w:cs="楷体_GB2312"/>
          <w:szCs w:val="32"/>
        </w:rPr>
        <w:t>（责任部门：市市场监管委、市商务局）</w:t>
      </w:r>
      <w:r>
        <w:rPr>
          <w:rFonts w:hint="eastAsia" w:ascii="仿宋_GB2312" w:hAnsi="仿宋_GB2312" w:eastAsia="仿宋_GB2312" w:cs="仿宋_GB2312"/>
          <w:szCs w:val="32"/>
        </w:rPr>
        <w:t>促进广告产业发展公共服务平台与</w:t>
      </w:r>
      <w:r>
        <w:rPr>
          <w:rFonts w:hint="eastAsia" w:eastAsia="仿宋_GB2312"/>
          <w:szCs w:val="32"/>
        </w:rPr>
        <w:t>天津市市场运行监测系统平台联动，及时提供消费市场运行变化趋势，为广告企业研判市场、科学决策提供支持。</w:t>
      </w:r>
      <w:r>
        <w:rPr>
          <w:rFonts w:hint="eastAsia" w:ascii="楷体_GB2312" w:hAnsi="楷体_GB2312" w:eastAsia="楷体_GB2312" w:cs="楷体_GB2312"/>
          <w:szCs w:val="32"/>
        </w:rPr>
        <w:t>（责任部门：市商务局）</w:t>
      </w:r>
    </w:p>
    <w:p>
      <w:pPr>
        <w:pStyle w:val="3"/>
        <w:ind w:firstLine="624" w:firstLineChars="200"/>
        <w:rPr>
          <w:rFonts w:eastAsia="仿宋_GB2312"/>
          <w:szCs w:val="32"/>
        </w:rPr>
      </w:pPr>
      <w:r>
        <w:rPr>
          <w:rFonts w:hint="eastAsia" w:eastAsia="仿宋_GB2312"/>
          <w:szCs w:val="32"/>
        </w:rPr>
        <w:t>13</w:t>
      </w:r>
      <w:r>
        <w:rPr>
          <w:rFonts w:eastAsia="仿宋_GB2312"/>
        </w:rPr>
        <w:t>．</w:t>
      </w:r>
      <w:r>
        <w:rPr>
          <w:rFonts w:hint="eastAsia" w:eastAsia="仿宋_GB2312"/>
          <w:szCs w:val="32"/>
        </w:rPr>
        <w:t>创新金融信贷服务。加力推动广告产业银企对接，鼓励金融机构加大信贷支持力度，优化知识产权质押、应收账款质押等融资服务，开发订单贷等适配广告企业的一揽子信贷产品，破解“先服务后回款”资金难题，支撑企业品牌类广告业务形成核心竞争力。</w:t>
      </w:r>
      <w:r>
        <w:rPr>
          <w:rFonts w:hint="eastAsia" w:ascii="楷体_GB2312" w:hAnsi="楷体_GB2312" w:eastAsia="楷体_GB2312" w:cs="楷体_GB2312"/>
          <w:szCs w:val="32"/>
        </w:rPr>
        <w:t>（责任部门：市地方金融管理局）</w:t>
      </w:r>
      <w:r>
        <w:rPr>
          <w:rFonts w:hint="eastAsia" w:eastAsia="仿宋_GB2312"/>
          <w:szCs w:val="32"/>
        </w:rPr>
        <w:t>完善融资担保体系，支持政府性融资担保机构为广告企业提供担保服务，按照相关政策规定对符合条件的广告企业降低担保费用，给予银行贷款财政贴息支持。</w:t>
      </w:r>
      <w:r>
        <w:rPr>
          <w:rFonts w:hint="eastAsia" w:ascii="楷体_GB2312" w:hAnsi="楷体_GB2312" w:eastAsia="楷体_GB2312" w:cs="楷体_GB2312"/>
          <w:szCs w:val="32"/>
        </w:rPr>
        <w:t>（责任部门：市地方金融管理局、市财政局）</w:t>
      </w:r>
    </w:p>
    <w:p>
      <w:pPr>
        <w:pStyle w:val="3"/>
        <w:ind w:firstLine="624" w:firstLineChars="200"/>
        <w:rPr>
          <w:rFonts w:eastAsia="仿宋_GB2312"/>
          <w:szCs w:val="32"/>
        </w:rPr>
      </w:pPr>
      <w:r>
        <w:rPr>
          <w:rFonts w:hint="eastAsia" w:eastAsia="仿宋_GB2312"/>
          <w:szCs w:val="32"/>
        </w:rPr>
        <w:t>14</w:t>
      </w:r>
      <w:r>
        <w:rPr>
          <w:rFonts w:eastAsia="仿宋_GB2312"/>
        </w:rPr>
        <w:t>．</w:t>
      </w:r>
      <w:r>
        <w:rPr>
          <w:rFonts w:hint="eastAsia" w:eastAsia="仿宋_GB2312"/>
        </w:rPr>
        <w:t>强化</w:t>
      </w:r>
      <w:r>
        <w:rPr>
          <w:rFonts w:hint="eastAsia" w:eastAsia="仿宋_GB2312"/>
          <w:szCs w:val="32"/>
        </w:rPr>
        <w:t>知识产权保护。加大广告领域知识产权保护力度，支持广告创意成果的商标注册、版权登记和专利申请行为。</w:t>
      </w:r>
      <w:r>
        <w:rPr>
          <w:rFonts w:hint="eastAsia" w:ascii="楷体_GB2312" w:hAnsi="楷体_GB2312" w:eastAsia="楷体_GB2312" w:cs="楷体_GB2312"/>
          <w:szCs w:val="32"/>
        </w:rPr>
        <w:t>（责任部门：市知识产权局、市委宣传部）</w:t>
      </w:r>
      <w:r>
        <w:rPr>
          <w:rFonts w:hint="eastAsia" w:eastAsia="仿宋_GB2312"/>
          <w:szCs w:val="32"/>
        </w:rPr>
        <w:t>为符合条件的广告企业开通专利快速预审通道，缩短专利授权周期。鼓励符合条件的广告企业申报国家知识产权示范企业，支持广告领域知识产权转化运用。</w:t>
      </w:r>
      <w:r>
        <w:rPr>
          <w:rFonts w:hint="eastAsia" w:ascii="楷体_GB2312" w:hAnsi="楷体_GB2312" w:eastAsia="楷体_GB2312" w:cs="楷体_GB2312"/>
          <w:szCs w:val="32"/>
        </w:rPr>
        <w:t>（责任部门：市知识产权局）</w:t>
      </w:r>
    </w:p>
    <w:p>
      <w:pPr>
        <w:pStyle w:val="3"/>
        <w:ind w:firstLine="624" w:firstLineChars="200"/>
        <w:rPr>
          <w:rFonts w:ascii="楷体_GB2312" w:hAnsi="楷体_GB2312" w:eastAsia="楷体_GB2312" w:cs="楷体_GB2312"/>
          <w:szCs w:val="32"/>
        </w:rPr>
      </w:pPr>
      <w:r>
        <w:rPr>
          <w:rFonts w:hint="eastAsia" w:eastAsia="仿宋_GB2312"/>
          <w:szCs w:val="32"/>
        </w:rPr>
        <w:t>15</w:t>
      </w:r>
      <w:r>
        <w:rPr>
          <w:rFonts w:eastAsia="仿宋_GB2312"/>
        </w:rPr>
        <w:t>．</w:t>
      </w:r>
      <w:r>
        <w:rPr>
          <w:rFonts w:hint="eastAsia" w:eastAsia="仿宋_GB2312"/>
          <w:szCs w:val="32"/>
        </w:rPr>
        <w:t>发挥智库专长优势。依托天津师范大学新闻传播学院，汇聚有关高校和企事业单位专业人才，建立天津品牌与广告研究院，打造集研究、教学、实践于一体的综合性广告研究机构，积极开展国内外学术交流合作，推进研究成果广泛应用于广告产业实践；推动广告从业人员接受继续教育，为政府决策、企业发展提供智力支持。</w:t>
      </w:r>
      <w:r>
        <w:rPr>
          <w:rFonts w:hint="eastAsia" w:ascii="楷体_GB2312" w:hAnsi="楷体_GB2312" w:eastAsia="楷体_GB2312" w:cs="楷体_GB2312"/>
          <w:szCs w:val="32"/>
        </w:rPr>
        <w:t>（责任部门：市教委、市市场监管委）</w:t>
      </w:r>
      <w:r>
        <w:rPr>
          <w:rFonts w:hint="eastAsia" w:eastAsia="仿宋_GB2312"/>
          <w:szCs w:val="32"/>
        </w:rPr>
        <w:t>指导天津市广告协会汇聚学界、业界专家资源，围绕行业发展、合规建设、人才培养、创新创意等加强研究交流，为政策制定、业态创新、产教融合提供智力支撑。鼓励行业组织、专业机构、高校、企业开展广告产业标准化研究。</w:t>
      </w:r>
      <w:r>
        <w:rPr>
          <w:rFonts w:hint="eastAsia" w:ascii="楷体_GB2312" w:hAnsi="楷体_GB2312" w:eastAsia="楷体_GB2312" w:cs="楷体_GB2312"/>
          <w:szCs w:val="32"/>
        </w:rPr>
        <w:t>（责任部门：市市场监管委）</w:t>
      </w:r>
    </w:p>
    <w:p>
      <w:pPr>
        <w:pStyle w:val="3"/>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（六）强化广告合规监管，优化产业发展环境</w:t>
      </w:r>
    </w:p>
    <w:p>
      <w:pPr>
        <w:pStyle w:val="3"/>
        <w:ind w:firstLine="624" w:firstLineChars="200"/>
        <w:rPr>
          <w:rFonts w:eastAsia="仿宋_GB2312"/>
          <w:szCs w:val="32"/>
        </w:rPr>
      </w:pPr>
      <w:r>
        <w:rPr>
          <w:rFonts w:hint="eastAsia" w:eastAsia="仿宋_GB2312"/>
          <w:szCs w:val="32"/>
        </w:rPr>
        <w:t>16</w:t>
      </w:r>
      <w:r>
        <w:rPr>
          <w:rFonts w:eastAsia="仿宋_GB2312"/>
        </w:rPr>
        <w:t>．</w:t>
      </w:r>
      <w:r>
        <w:rPr>
          <w:rFonts w:hint="eastAsia" w:eastAsia="仿宋_GB2312"/>
          <w:szCs w:val="32"/>
        </w:rPr>
        <w:t>打造数智化监管体系。推进人工智能、大数据等新技术在广告监管领域的应用，提升广告监管效能。整合广告监测、审查、执法、统计、经营主体信用等数据资源，搭建标准统一、上下联通、数据共享、高效安全的监管平台，提升广告监管现代化水平。</w:t>
      </w:r>
      <w:r>
        <w:rPr>
          <w:rFonts w:hint="eastAsia" w:ascii="楷体_GB2312" w:hAnsi="楷体_GB2312" w:eastAsia="楷体_GB2312" w:cs="楷体_GB2312"/>
          <w:szCs w:val="32"/>
        </w:rPr>
        <w:t>（责任部门：市市场监管委、市数据局）</w:t>
      </w:r>
    </w:p>
    <w:p>
      <w:pPr>
        <w:pStyle w:val="3"/>
        <w:ind w:firstLine="624" w:firstLineChars="200"/>
        <w:rPr>
          <w:rFonts w:ascii="楷体_GB2312" w:hAnsi="楷体_GB2312" w:eastAsia="楷体_GB2312" w:cs="楷体_GB2312"/>
          <w:szCs w:val="32"/>
        </w:rPr>
      </w:pPr>
      <w:r>
        <w:rPr>
          <w:rFonts w:hint="eastAsia" w:eastAsia="仿宋_GB2312"/>
          <w:szCs w:val="32"/>
        </w:rPr>
        <w:t>17</w:t>
      </w:r>
      <w:r>
        <w:rPr>
          <w:rFonts w:eastAsia="仿宋_GB2312"/>
        </w:rPr>
        <w:t>．</w:t>
      </w:r>
      <w:r>
        <w:rPr>
          <w:rFonts w:hint="eastAsia" w:eastAsia="仿宋_GB2312"/>
          <w:szCs w:val="32"/>
        </w:rPr>
        <w:t>实施精准高效监管。通过举办合规培训讲座、提供“一对一”合规咨询服务等方式，加大广告合规助企工作力度，引导广大经营主体强化广告合规意识。</w:t>
      </w:r>
      <w:r>
        <w:rPr>
          <w:rFonts w:hint="eastAsia" w:ascii="楷体_GB2312" w:hAnsi="楷体_GB2312" w:eastAsia="楷体_GB2312" w:cs="楷体_GB2312"/>
          <w:szCs w:val="32"/>
        </w:rPr>
        <w:t>（责任部门：市市场监管委、市文化和旅游局）</w:t>
      </w:r>
      <w:r>
        <w:rPr>
          <w:rFonts w:hint="eastAsia" w:eastAsia="仿宋_GB2312"/>
          <w:szCs w:val="32"/>
        </w:rPr>
        <w:t>持续推进广告行政许可服务标准化、规范化、便利化，不断提高企业办事的透明度和便利度。</w:t>
      </w:r>
      <w:r>
        <w:rPr>
          <w:rFonts w:hint="eastAsia" w:ascii="楷体_GB2312" w:hAnsi="楷体_GB2312" w:eastAsia="楷体_GB2312" w:cs="楷体_GB2312"/>
          <w:szCs w:val="32"/>
        </w:rPr>
        <w:t>（责任部门：市市场监管委、市城市管理委）</w:t>
      </w:r>
      <w:r>
        <w:rPr>
          <w:rFonts w:hint="eastAsia" w:ascii="仿宋_GB2312" w:hAnsi="仿宋_GB2312" w:eastAsia="仿宋_GB2312" w:cs="仿宋_GB2312"/>
          <w:szCs w:val="32"/>
        </w:rPr>
        <w:t>深入推进广告导向监管常态化长效化，坚决守牢广告领域意识形态安全底线。</w:t>
      </w:r>
      <w:r>
        <w:rPr>
          <w:rFonts w:hint="eastAsia" w:ascii="楷体_GB2312" w:hAnsi="楷体_GB2312" w:eastAsia="楷体_GB2312" w:cs="楷体_GB2312"/>
          <w:szCs w:val="32"/>
        </w:rPr>
        <w:t>（责任部门：市市场监管委、市委宣传部、市文化和旅游局）</w:t>
      </w:r>
      <w:r>
        <w:rPr>
          <w:rFonts w:hint="eastAsia" w:ascii="仿宋_GB2312" w:hAnsi="仿宋_GB2312" w:eastAsia="仿宋_GB2312" w:cs="仿宋_GB2312"/>
          <w:szCs w:val="32"/>
        </w:rPr>
        <w:t>针对广告市场存在的突出问题，实施重点领域广告精准监管和靶向治理，深入推进虚假违法广告综合治理。</w:t>
      </w:r>
      <w:r>
        <w:rPr>
          <w:rFonts w:hint="eastAsia" w:ascii="楷体_GB2312" w:hAnsi="楷体_GB2312" w:eastAsia="楷体_GB2312" w:cs="楷体_GB2312"/>
          <w:szCs w:val="32"/>
        </w:rPr>
        <w:t>（责任部门：市市场监管委、市委宣传部、市文化和旅游局、市委网信办）</w:t>
      </w:r>
      <w:r>
        <w:rPr>
          <w:rFonts w:hint="eastAsia" w:eastAsia="仿宋_GB2312"/>
          <w:szCs w:val="32"/>
        </w:rPr>
        <w:t>落实天津市市场监督管理首违不罚、轻微免罚、减轻处罚清单，依法依规推行柔性监管、服务型执法，激发广告产业经营主体活力。</w:t>
      </w:r>
      <w:r>
        <w:rPr>
          <w:rFonts w:hint="eastAsia" w:ascii="楷体_GB2312" w:hAnsi="楷体_GB2312" w:eastAsia="楷体_GB2312" w:cs="楷体_GB2312"/>
          <w:szCs w:val="32"/>
        </w:rPr>
        <w:t>（责任部门：市市场监管委）</w:t>
      </w:r>
    </w:p>
    <w:p>
      <w:pPr>
        <w:pStyle w:val="3"/>
        <w:ind w:firstLine="624" w:firstLineChars="200"/>
        <w:rPr>
          <w:rFonts w:ascii="楷体_GB2312" w:hAnsi="楷体_GB2312" w:eastAsia="楷体_GB2312" w:cs="楷体_GB2312"/>
          <w:szCs w:val="32"/>
        </w:rPr>
      </w:pPr>
      <w:r>
        <w:rPr>
          <w:rFonts w:hint="eastAsia" w:eastAsia="仿宋_GB2312"/>
          <w:szCs w:val="32"/>
        </w:rPr>
        <w:t>18</w:t>
      </w:r>
      <w:r>
        <w:rPr>
          <w:rFonts w:eastAsia="仿宋_GB2312"/>
        </w:rPr>
        <w:t>．</w:t>
      </w:r>
      <w:r>
        <w:rPr>
          <w:rFonts w:hint="eastAsia" w:eastAsia="仿宋_GB2312"/>
          <w:szCs w:val="32"/>
        </w:rPr>
        <w:t>健全行业自律机制。推动天津市广告协会进一步完善行业规范和自律准则，不断壮大会员规模，增强行业代表性，有效配合广告监管执法工作，充分发挥引领行业自律、促进行业健康发展的重要作用。</w:t>
      </w:r>
      <w:r>
        <w:rPr>
          <w:rFonts w:hint="eastAsia" w:ascii="楷体_GB2312" w:hAnsi="楷体_GB2312" w:eastAsia="楷体_GB2312" w:cs="楷体_GB2312"/>
          <w:szCs w:val="32"/>
        </w:rPr>
        <w:t>（责任部门：市市场监管委）</w:t>
      </w:r>
      <w:r>
        <w:rPr>
          <w:rFonts w:hint="eastAsia" w:eastAsia="仿宋_GB2312"/>
          <w:szCs w:val="32"/>
        </w:rPr>
        <w:t>支持引导广告企事业单位运用新技术，创作兼具思想性、艺术性和观赏性的公益广告作品，弘扬中华优秀传统文化，彰显社会主义核心价值观。</w:t>
      </w:r>
      <w:r>
        <w:rPr>
          <w:rFonts w:hint="eastAsia" w:ascii="楷体_GB2312" w:hAnsi="楷体_GB2312" w:eastAsia="楷体_GB2312" w:cs="楷体_GB2312"/>
          <w:szCs w:val="32"/>
        </w:rPr>
        <w:t>（责任部门：市委宣传部、市文化和旅游局、市市场监管委、市教委）</w:t>
      </w:r>
    </w:p>
    <w:p>
      <w:pPr>
        <w:pStyle w:val="3"/>
        <w:ind w:firstLine="624" w:firstLineChars="200"/>
        <w:rPr>
          <w:rFonts w:ascii="黑体" w:hAnsi="黑体" w:eastAsia="黑体" w:cs="黑体"/>
          <w:szCs w:val="32"/>
        </w:rPr>
      </w:pPr>
      <w:r>
        <w:rPr>
          <w:rFonts w:hint="eastAsia" w:ascii="黑体" w:hAnsi="黑体" w:eastAsia="黑体" w:cs="黑体"/>
          <w:szCs w:val="32"/>
        </w:rPr>
        <w:t>三、保障措施</w:t>
      </w:r>
    </w:p>
    <w:p>
      <w:pPr>
        <w:pStyle w:val="3"/>
        <w:ind w:firstLine="624" w:firstLineChars="200"/>
        <w:rPr>
          <w:rFonts w:eastAsia="仿宋_GB2312"/>
          <w:szCs w:val="32"/>
        </w:rPr>
      </w:pPr>
      <w:r>
        <w:rPr>
          <w:rFonts w:hint="eastAsia" w:eastAsia="仿宋_GB2312"/>
          <w:szCs w:val="32"/>
        </w:rPr>
        <w:t>市市场监管委会同市发展改革委、市财政局等有关部门建立天津市广告产业发展工作专班，专班办公室设在市市场监管委，负责统筹协调和督促推动政策落地、项目实施、监管服务等各项工作，解决产业发展中的重要问题，将广告产业纳入市服务业专项财政资金支持范围。各区要充分利用市、区两级政策资金，盘活本区户外广告载体，推动区域广告产业特色化发展。市级有关部门要结合职责落实创新激励、财政扶持、税收优惠、人才引进、市场准入等支持广告产业发展政策，确保各项重点工作高效推进、主要目标如期实现。</w:t>
      </w: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rPr>
          <w:rFonts w:eastAsia="仿宋_GB2312"/>
          <w:szCs w:val="32"/>
        </w:rPr>
      </w:pPr>
    </w:p>
    <w:p>
      <w:pPr>
        <w:pStyle w:val="3"/>
        <w:ind w:left="914" w:hanging="917" w:hangingChars="294"/>
        <w:rPr>
          <w:rFonts w:eastAsia="仿宋_GB2312"/>
          <w:szCs w:val="32"/>
        </w:rPr>
      </w:pPr>
    </w:p>
    <w:p>
      <w:pPr>
        <w:pStyle w:val="3"/>
        <w:rPr>
          <w:sz w:val="10"/>
          <w:szCs w:val="10"/>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420" w:leftChars="200" w:right="420" w:rightChars="200"/>
      <w:jc w:val="center"/>
      <w:rPr>
        <w:rStyle w:val="11"/>
        <w:sz w:val="28"/>
      </w:rPr>
    </w:pPr>
    <w:r>
      <w:rPr>
        <w:rStyle w:val="11"/>
        <w:rFonts w:hint="eastAsia"/>
        <w:sz w:val="28"/>
      </w:rPr>
      <w:t>—</w:t>
    </w:r>
    <w:r>
      <w:rPr>
        <w:rStyle w:val="11"/>
        <w:sz w:val="28"/>
      </w:rPr>
      <w:t xml:space="preserve"> </w:t>
    </w:r>
    <w:r>
      <w:rPr>
        <w:rStyle w:val="11"/>
        <w:sz w:val="28"/>
      </w:rPr>
      <w:fldChar w:fldCharType="begin"/>
    </w:r>
    <w:r>
      <w:rPr>
        <w:rStyle w:val="11"/>
        <w:sz w:val="28"/>
      </w:rPr>
      <w:instrText xml:space="preserve">PAGE  </w:instrText>
    </w:r>
    <w:r>
      <w:rPr>
        <w:rStyle w:val="11"/>
        <w:sz w:val="28"/>
      </w:rPr>
      <w:fldChar w:fldCharType="separate"/>
    </w:r>
    <w:r>
      <w:rPr>
        <w:rStyle w:val="11"/>
        <w:sz w:val="28"/>
      </w:rPr>
      <w:t>12</w:t>
    </w:r>
    <w:r>
      <w:rPr>
        <w:rStyle w:val="11"/>
        <w:sz w:val="28"/>
      </w:rPr>
      <w:fldChar w:fldCharType="end"/>
    </w:r>
    <w:r>
      <w:rPr>
        <w:rStyle w:val="11"/>
        <w:sz w:val="28"/>
      </w:rPr>
      <w:t xml:space="preserve"> </w:t>
    </w:r>
    <w:r>
      <w:rPr>
        <w:rStyle w:val="11"/>
        <w:rFonts w:hint="eastAsia"/>
        <w:sz w:val="28"/>
      </w:rPr>
      <w:t>—</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wMzk0YTNmOTEwYzJjM2U3NzNmMTczYWNhOTU0MmYifQ=="/>
  </w:docVars>
  <w:rsids>
    <w:rsidRoot w:val="0052186E"/>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575"/>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CF2A31"/>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5585C"/>
    <w:rsid w:val="00F61E7C"/>
    <w:rsid w:val="00FB20E7"/>
    <w:rsid w:val="13FD4B42"/>
    <w:rsid w:val="176FA31A"/>
    <w:rsid w:val="17DF5C04"/>
    <w:rsid w:val="1EBD1CDF"/>
    <w:rsid w:val="1FF3BB16"/>
    <w:rsid w:val="296A5636"/>
    <w:rsid w:val="29F79B4C"/>
    <w:rsid w:val="2B9C463D"/>
    <w:rsid w:val="2FEB0B40"/>
    <w:rsid w:val="33FB0904"/>
    <w:rsid w:val="3A7B3FAF"/>
    <w:rsid w:val="3BAF955F"/>
    <w:rsid w:val="3BF64263"/>
    <w:rsid w:val="3BFBABFE"/>
    <w:rsid w:val="3D4BD760"/>
    <w:rsid w:val="3E2D6F93"/>
    <w:rsid w:val="3EF7CABC"/>
    <w:rsid w:val="3F3CEC89"/>
    <w:rsid w:val="3F7B9A40"/>
    <w:rsid w:val="3F8E94D7"/>
    <w:rsid w:val="3FCDCB4C"/>
    <w:rsid w:val="4BCEDF44"/>
    <w:rsid w:val="52F7C82C"/>
    <w:rsid w:val="5ACFF2A6"/>
    <w:rsid w:val="5BF45F4D"/>
    <w:rsid w:val="5DE77265"/>
    <w:rsid w:val="5DEE7E4A"/>
    <w:rsid w:val="5EFF99A8"/>
    <w:rsid w:val="5F3EEB56"/>
    <w:rsid w:val="5FEF238B"/>
    <w:rsid w:val="67DEA224"/>
    <w:rsid w:val="67EF89D4"/>
    <w:rsid w:val="69FB99A9"/>
    <w:rsid w:val="6AF5DAEA"/>
    <w:rsid w:val="6F8BA404"/>
    <w:rsid w:val="6F975B2F"/>
    <w:rsid w:val="6FDF4D42"/>
    <w:rsid w:val="71DFC9D2"/>
    <w:rsid w:val="73BF1DE1"/>
    <w:rsid w:val="75FFD392"/>
    <w:rsid w:val="76EE31C8"/>
    <w:rsid w:val="770B7A13"/>
    <w:rsid w:val="777F0E07"/>
    <w:rsid w:val="77F79D9C"/>
    <w:rsid w:val="77FC87D5"/>
    <w:rsid w:val="78CCFC26"/>
    <w:rsid w:val="7AFEF08A"/>
    <w:rsid w:val="7CD6036E"/>
    <w:rsid w:val="7D49506D"/>
    <w:rsid w:val="7D5526A8"/>
    <w:rsid w:val="7DBD14B2"/>
    <w:rsid w:val="7DEE894B"/>
    <w:rsid w:val="7DF37EAF"/>
    <w:rsid w:val="7DF607E7"/>
    <w:rsid w:val="7E77FAAA"/>
    <w:rsid w:val="7E82FAE0"/>
    <w:rsid w:val="7EBFE3FF"/>
    <w:rsid w:val="7EF61162"/>
    <w:rsid w:val="7EFA0390"/>
    <w:rsid w:val="7EFBB91B"/>
    <w:rsid w:val="7EFF454A"/>
    <w:rsid w:val="7EFF998C"/>
    <w:rsid w:val="7F4F5CE6"/>
    <w:rsid w:val="7F768410"/>
    <w:rsid w:val="7FB5C4AC"/>
    <w:rsid w:val="7FFA306B"/>
    <w:rsid w:val="7FFF6938"/>
    <w:rsid w:val="7FFF7D9E"/>
    <w:rsid w:val="7FFFBF44"/>
    <w:rsid w:val="7FFFE4EB"/>
    <w:rsid w:val="7FFFE764"/>
    <w:rsid w:val="8B5F76AF"/>
    <w:rsid w:val="91FF57F0"/>
    <w:rsid w:val="933F770D"/>
    <w:rsid w:val="9CFF3B99"/>
    <w:rsid w:val="A3DDE2FD"/>
    <w:rsid w:val="B3FB204F"/>
    <w:rsid w:val="B70893B1"/>
    <w:rsid w:val="BA3D10DC"/>
    <w:rsid w:val="BB7F7693"/>
    <w:rsid w:val="BBBF3948"/>
    <w:rsid w:val="BBFF6E5D"/>
    <w:rsid w:val="BF7F705B"/>
    <w:rsid w:val="BFFD529D"/>
    <w:rsid w:val="C57DDB26"/>
    <w:rsid w:val="CD4F92FC"/>
    <w:rsid w:val="CDDF91CF"/>
    <w:rsid w:val="CF7FD23D"/>
    <w:rsid w:val="D67C42A4"/>
    <w:rsid w:val="D6BFE2DF"/>
    <w:rsid w:val="DBF46B3B"/>
    <w:rsid w:val="DF29C4FB"/>
    <w:rsid w:val="DFE61787"/>
    <w:rsid w:val="DFF71293"/>
    <w:rsid w:val="E39F476E"/>
    <w:rsid w:val="E7F7DD7F"/>
    <w:rsid w:val="E7FBF2A8"/>
    <w:rsid w:val="E9BD9F45"/>
    <w:rsid w:val="EFEF8C00"/>
    <w:rsid w:val="F6FF58EB"/>
    <w:rsid w:val="F73A2529"/>
    <w:rsid w:val="F7C4A769"/>
    <w:rsid w:val="F7D526B4"/>
    <w:rsid w:val="F93B4FAC"/>
    <w:rsid w:val="F9DF945F"/>
    <w:rsid w:val="FA3FB89B"/>
    <w:rsid w:val="FBFEA5B8"/>
    <w:rsid w:val="FBFF7A79"/>
    <w:rsid w:val="FD1F2724"/>
    <w:rsid w:val="FDF6FC5C"/>
    <w:rsid w:val="FE5871A6"/>
    <w:rsid w:val="FEC55325"/>
    <w:rsid w:val="FEFEA4D9"/>
    <w:rsid w:val="FF75B073"/>
    <w:rsid w:val="FF7B3223"/>
    <w:rsid w:val="FF7B6CBB"/>
    <w:rsid w:val="FF7FF286"/>
    <w:rsid w:val="FFDC12F1"/>
    <w:rsid w:val="FFDF6A2E"/>
    <w:rsid w:val="FFDF6A45"/>
    <w:rsid w:val="FFF61449"/>
    <w:rsid w:val="FFF98264"/>
    <w:rsid w:val="FFFF1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link w:val="13"/>
    <w:uiPriority w:val="0"/>
    <w:rPr>
      <w:rFonts w:eastAsia="文星仿宋"/>
      <w:sz w:val="32"/>
    </w:rPr>
  </w:style>
  <w:style w:type="paragraph" w:styleId="4">
    <w:name w:val="Body Text Indent"/>
    <w:basedOn w:val="1"/>
    <w:qFormat/>
    <w:uiPriority w:val="0"/>
    <w:pPr>
      <w:ind w:firstLine="720" w:firstLineChars="225"/>
    </w:pPr>
    <w:rPr>
      <w:sz w:val="32"/>
      <w:szCs w:val="20"/>
    </w:rPr>
  </w:style>
  <w:style w:type="paragraph" w:styleId="5">
    <w:name w:val="Date"/>
    <w:basedOn w:val="1"/>
    <w:next w:val="1"/>
    <w:qFormat/>
    <w:uiPriority w:val="0"/>
    <w:pPr>
      <w:ind w:left="100" w:leftChars="2500"/>
    </w:p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0"/>
  </w:style>
  <w:style w:type="character" w:styleId="12">
    <w:name w:val="Hyperlink"/>
    <w:uiPriority w:val="0"/>
    <w:rPr>
      <w:color w:val="0000FF"/>
      <w:u w:val="single"/>
    </w:rPr>
  </w:style>
  <w:style w:type="character" w:customStyle="1" w:styleId="13">
    <w:name w:val="正文文本 Char"/>
    <w:link w:val="3"/>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12</Pages>
  <Words>892</Words>
  <Characters>5090</Characters>
  <Lines>42</Lines>
  <Paragraphs>11</Paragraphs>
  <TotalTime>0</TotalTime>
  <ScaleCrop>false</ScaleCrop>
  <LinksUpToDate>false</LinksUpToDate>
  <CharactersWithSpaces>5971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2014-06-19T08:51:00Z</dcterms:created>
  <dc:creator>jsj</dc:creator>
  <cp:lastModifiedBy> Chloe堂姐</cp:lastModifiedBy>
  <cp:lastPrinted>2021-01-05T09:46:00Z</cp:lastPrinted>
  <dcterms:modified xsi:type="dcterms:W3CDTF">2026-07-16T01:36:46Z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1DDA2DB779C0A07E1091556AE2BB3B4D</vt:lpwstr>
  </property>
</Properties>
</file>