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C84FA">
      <w:pPr>
        <w:pStyle w:val="2"/>
        <w:snapToGrid w:val="0"/>
        <w:jc w:val="both"/>
        <w:rPr>
          <w:rFonts w:eastAsia="仿宋_GB2312"/>
          <w:szCs w:val="32"/>
        </w:rPr>
      </w:pPr>
    </w:p>
    <w:p w14:paraId="45148417">
      <w:pPr>
        <w:pStyle w:val="2"/>
        <w:snapToGrid w:val="0"/>
        <w:jc w:val="center"/>
        <w:rPr>
          <w:rStyle w:val="10"/>
          <w:rFonts w:hint="eastAsia" w:ascii="方正小标宋简体" w:hAnsi="方正小标宋_GBK" w:eastAsia="方正小标宋简体" w:cs="方正小标宋_GBK"/>
          <w:color w:val="auto"/>
          <w:spacing w:val="-20"/>
          <w:sz w:val="44"/>
          <w:szCs w:val="44"/>
          <w:u w:val="none"/>
        </w:rPr>
      </w:pPr>
      <w:r>
        <w:rPr>
          <w:rStyle w:val="10"/>
          <w:rFonts w:hint="eastAsia" w:ascii="方正小标宋简体" w:hAnsi="方正小标宋_GBK" w:eastAsia="方正小标宋简体" w:cs="方正小标宋_GBK"/>
          <w:color w:val="auto"/>
          <w:spacing w:val="-20"/>
          <w:sz w:val="44"/>
          <w:szCs w:val="44"/>
          <w:u w:val="none"/>
        </w:rPr>
        <w:t>天津市人民政府办公厅关于印发</w:t>
      </w:r>
    </w:p>
    <w:p w14:paraId="480291CA">
      <w:pPr>
        <w:pStyle w:val="2"/>
        <w:snapToGrid w:val="0"/>
        <w:jc w:val="center"/>
        <w:rPr>
          <w:rStyle w:val="10"/>
          <w:rFonts w:ascii="方正小标宋_GBK" w:hAnsi="方正小标宋_GBK" w:eastAsia="方正小标宋_GBK" w:cs="方正小标宋_GBK"/>
          <w:color w:val="auto"/>
          <w:sz w:val="44"/>
          <w:szCs w:val="44"/>
          <w:u w:val="none"/>
        </w:rPr>
      </w:pPr>
      <w:r>
        <w:rPr>
          <w:rStyle w:val="10"/>
          <w:rFonts w:hint="eastAsia" w:ascii="方正小标宋简体" w:hAnsi="方正小标宋_GBK" w:eastAsia="方正小标宋简体" w:cs="方正小标宋_GBK"/>
          <w:color w:val="auto"/>
          <w:spacing w:val="-20"/>
          <w:sz w:val="44"/>
          <w:szCs w:val="44"/>
          <w:u w:val="none"/>
        </w:rPr>
        <w:t>天津市体育赛事活动安全监管办法的通知</w:t>
      </w:r>
    </w:p>
    <w:p w14:paraId="635B2C72">
      <w:pPr>
        <w:pStyle w:val="2"/>
        <w:ind w:firstLine="612" w:firstLineChars="196"/>
        <w:rPr>
          <w:rFonts w:ascii="仿宋_GB2312" w:hAnsi="仿宋_GB2312" w:eastAsia="仿宋_GB2312" w:cs="仿宋_GB2312"/>
          <w:szCs w:val="32"/>
        </w:rPr>
      </w:pPr>
    </w:p>
    <w:p w14:paraId="04042EB5">
      <w:pPr>
        <w:pStyle w:val="2"/>
        <w:rPr>
          <w:rFonts w:ascii="仿宋_GB2312" w:eastAsia="仿宋_GB2312"/>
        </w:rPr>
      </w:pPr>
      <w:r>
        <w:rPr>
          <w:rFonts w:hint="eastAsia" w:ascii="仿宋_GB2312" w:eastAsia="仿宋_GB2312"/>
        </w:rPr>
        <w:t>各区人民政府，市政府有关委、办、局：</w:t>
      </w:r>
    </w:p>
    <w:p w14:paraId="35DB0C2A">
      <w:pPr>
        <w:pStyle w:val="2"/>
        <w:ind w:firstLine="612" w:firstLineChars="196"/>
        <w:rPr>
          <w:rFonts w:hint="eastAsia" w:eastAsia="仿宋_GB2312"/>
          <w:szCs w:val="32"/>
        </w:rPr>
      </w:pPr>
      <w:r>
        <w:rPr>
          <w:rFonts w:hint="eastAsia" w:eastAsia="仿宋_GB2312"/>
          <w:szCs w:val="32"/>
        </w:rPr>
        <w:t>经市人民政府同意，现将《天津市体育赛事活动安全监管办法》印发给你们，请照此执行。</w:t>
      </w:r>
    </w:p>
    <w:p w14:paraId="1D1C3BE9">
      <w:pPr>
        <w:pStyle w:val="2"/>
        <w:ind w:firstLine="612" w:firstLineChars="196"/>
        <w:rPr>
          <w:rFonts w:hint="eastAsia" w:eastAsia="仿宋_GB2312"/>
          <w:szCs w:val="32"/>
        </w:rPr>
      </w:pPr>
    </w:p>
    <w:p w14:paraId="4E5BEE8D">
      <w:pPr>
        <w:pStyle w:val="2"/>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eastAsia="仿宋_GB2312"/>
          <w:szCs w:val="32"/>
        </w:rPr>
      </w:pPr>
      <w:r>
        <w:rPr>
          <w:rFonts w:hint="eastAsia" w:eastAsia="仿宋_GB2312"/>
          <w:szCs w:val="32"/>
          <w:lang w:val="en-US" w:eastAsia="zh-CN"/>
        </w:rPr>
        <w:t xml:space="preserve">天津市人民政府办公厅   </w:t>
      </w:r>
    </w:p>
    <w:p w14:paraId="2DD4B644">
      <w:pPr>
        <w:pStyle w:val="2"/>
        <w:wordWrap w:val="0"/>
        <w:jc w:val="right"/>
        <w:rPr>
          <w:rFonts w:eastAsia="仿宋_GB2312"/>
          <w:szCs w:val="32"/>
        </w:rPr>
      </w:pPr>
      <w:r>
        <w:rPr>
          <w:rFonts w:hint="eastAsia" w:eastAsia="仿宋_GB2312"/>
          <w:szCs w:val="32"/>
        </w:rPr>
        <w:t xml:space="preserve">2025年8月27日     </w:t>
      </w:r>
    </w:p>
    <w:p w14:paraId="68A7D224">
      <w:pPr>
        <w:pStyle w:val="2"/>
        <w:ind w:firstLine="622"/>
        <w:rPr>
          <w:rFonts w:hint="eastAsia" w:eastAsia="仿宋_GB2312"/>
          <w:szCs w:val="32"/>
        </w:rPr>
      </w:pPr>
      <w:r>
        <w:rPr>
          <w:rFonts w:hint="eastAsia" w:eastAsia="仿宋_GB2312"/>
          <w:szCs w:val="32"/>
        </w:rPr>
        <w:t>（此件主动公开）</w:t>
      </w:r>
    </w:p>
    <w:p w14:paraId="6E936843">
      <w:pPr>
        <w:pStyle w:val="2"/>
        <w:ind w:firstLine="622"/>
        <w:rPr>
          <w:rFonts w:hint="eastAsia" w:eastAsia="仿宋_GB2312"/>
          <w:szCs w:val="32"/>
        </w:rPr>
      </w:pPr>
    </w:p>
    <w:p w14:paraId="7E9EEF6C">
      <w:pPr>
        <w:pStyle w:val="2"/>
        <w:ind w:firstLine="622"/>
        <w:rPr>
          <w:rFonts w:hint="eastAsia" w:eastAsia="仿宋_GB2312"/>
          <w:szCs w:val="32"/>
        </w:rPr>
      </w:pPr>
    </w:p>
    <w:p w14:paraId="672EAAE5">
      <w:pPr>
        <w:pStyle w:val="2"/>
        <w:ind w:firstLine="622"/>
        <w:rPr>
          <w:rFonts w:hint="eastAsia" w:eastAsia="仿宋_GB2312"/>
          <w:szCs w:val="32"/>
        </w:rPr>
      </w:pPr>
    </w:p>
    <w:p w14:paraId="7BE347EF">
      <w:pPr>
        <w:pStyle w:val="2"/>
        <w:ind w:firstLine="622"/>
        <w:rPr>
          <w:rFonts w:hint="eastAsia" w:eastAsia="仿宋_GB2312"/>
          <w:szCs w:val="32"/>
        </w:rPr>
      </w:pPr>
    </w:p>
    <w:p w14:paraId="30571C38">
      <w:pPr>
        <w:pStyle w:val="2"/>
        <w:ind w:firstLine="622"/>
        <w:rPr>
          <w:rFonts w:hint="eastAsia" w:eastAsia="仿宋_GB2312"/>
          <w:szCs w:val="32"/>
        </w:rPr>
      </w:pPr>
    </w:p>
    <w:p w14:paraId="72257FA9">
      <w:pPr>
        <w:pStyle w:val="2"/>
        <w:ind w:firstLine="622"/>
        <w:rPr>
          <w:rFonts w:hint="eastAsia" w:eastAsia="仿宋_GB2312"/>
          <w:szCs w:val="32"/>
        </w:rPr>
      </w:pPr>
    </w:p>
    <w:p w14:paraId="763F3C35">
      <w:pPr>
        <w:pStyle w:val="2"/>
        <w:ind w:firstLine="622"/>
        <w:rPr>
          <w:rFonts w:hint="eastAsia" w:eastAsia="仿宋_GB2312"/>
          <w:szCs w:val="32"/>
        </w:rPr>
      </w:pPr>
    </w:p>
    <w:p w14:paraId="0CB2273B">
      <w:pPr>
        <w:pStyle w:val="2"/>
        <w:ind w:firstLine="622"/>
        <w:rPr>
          <w:rFonts w:hint="eastAsia" w:eastAsia="仿宋_GB2312"/>
          <w:szCs w:val="32"/>
        </w:rPr>
      </w:pPr>
    </w:p>
    <w:p w14:paraId="0AE31EB7">
      <w:pPr>
        <w:pStyle w:val="2"/>
        <w:ind w:firstLine="622"/>
        <w:rPr>
          <w:rFonts w:hint="eastAsia" w:eastAsia="仿宋_GB2312"/>
          <w:szCs w:val="32"/>
        </w:rPr>
      </w:pPr>
    </w:p>
    <w:p w14:paraId="755D99C2">
      <w:pPr>
        <w:pStyle w:val="2"/>
        <w:ind w:firstLine="622"/>
        <w:rPr>
          <w:rFonts w:hint="eastAsia" w:eastAsia="仿宋_GB2312"/>
          <w:szCs w:val="32"/>
        </w:rPr>
      </w:pPr>
    </w:p>
    <w:p w14:paraId="5EB00764">
      <w:pPr>
        <w:pStyle w:val="2"/>
        <w:ind w:firstLine="622"/>
        <w:rPr>
          <w:rFonts w:hint="eastAsia" w:eastAsia="仿宋_GB2312"/>
          <w:szCs w:val="32"/>
        </w:rPr>
      </w:pPr>
    </w:p>
    <w:p w14:paraId="4FAF1C18">
      <w:pPr>
        <w:pStyle w:val="2"/>
        <w:snapToGrid w:val="0"/>
        <w:jc w:val="center"/>
        <w:rPr>
          <w:rStyle w:val="10"/>
          <w:rFonts w:hint="eastAsia" w:ascii="方正小标宋简体" w:hAnsi="方正小标宋_GBK" w:eastAsia="方正小标宋简体" w:cs="方正小标宋_GBK"/>
          <w:color w:val="auto"/>
          <w:spacing w:val="-20"/>
          <w:sz w:val="44"/>
          <w:szCs w:val="44"/>
          <w:u w:val="none"/>
          <w:lang w:val="en" w:eastAsia="zh-CN"/>
        </w:rPr>
      </w:pPr>
      <w:r>
        <w:rPr>
          <w:rStyle w:val="10"/>
          <w:rFonts w:hint="eastAsia" w:ascii="方正小标宋简体" w:hAnsi="方正小标宋_GBK" w:eastAsia="方正小标宋简体" w:cs="方正小标宋_GBK"/>
          <w:color w:val="auto"/>
          <w:spacing w:val="-20"/>
          <w:sz w:val="44"/>
          <w:szCs w:val="44"/>
          <w:u w:val="none"/>
          <w:lang w:val="en" w:eastAsia="zh-CN"/>
        </w:rPr>
        <w:t>天津市体育赛事活动安全监管办法</w:t>
      </w:r>
    </w:p>
    <w:p w14:paraId="5E78CE35">
      <w:pPr>
        <w:pStyle w:val="2"/>
        <w:ind w:firstLine="612" w:firstLineChars="196"/>
        <w:rPr>
          <w:rFonts w:hint="eastAsia" w:ascii="仿宋_GB2312" w:hAnsi="仿宋_GB2312" w:eastAsia="仿宋_GB2312" w:cs="仿宋_GB2312"/>
          <w:szCs w:val="32"/>
          <w:lang w:val="en" w:eastAsia="zh-CN"/>
        </w:rPr>
      </w:pPr>
    </w:p>
    <w:p w14:paraId="47DF3D46">
      <w:pPr>
        <w:pStyle w:val="2"/>
        <w:jc w:val="center"/>
        <w:rPr>
          <w:rFonts w:ascii="黑体" w:hAnsi="黑体" w:eastAsia="黑体" w:cs="黑体"/>
          <w:szCs w:val="32"/>
        </w:rPr>
      </w:pPr>
      <w:r>
        <w:rPr>
          <w:rFonts w:hint="eastAsia" w:ascii="黑体" w:hAnsi="黑体" w:eastAsia="黑体" w:cs="黑体"/>
          <w:szCs w:val="32"/>
        </w:rPr>
        <w:t>第一章　总则</w:t>
      </w:r>
    </w:p>
    <w:p w14:paraId="5208EDF2">
      <w:pPr>
        <w:pStyle w:val="2"/>
        <w:ind w:firstLine="612" w:firstLineChars="196"/>
        <w:rPr>
          <w:rFonts w:eastAsia="仿宋_GB2312"/>
          <w:szCs w:val="32"/>
        </w:rPr>
      </w:pPr>
    </w:p>
    <w:p w14:paraId="7BF3C1A2">
      <w:pPr>
        <w:pStyle w:val="2"/>
        <w:ind w:firstLine="624" w:firstLineChars="200"/>
        <w:rPr>
          <w:rFonts w:eastAsia="仿宋_GB2312"/>
          <w:szCs w:val="32"/>
        </w:rPr>
      </w:pPr>
      <w:r>
        <w:rPr>
          <w:rFonts w:hint="eastAsia" w:ascii="黑体" w:hAnsi="黑体" w:eastAsia="黑体" w:cs="黑体"/>
          <w:szCs w:val="32"/>
        </w:rPr>
        <w:t>第一条</w:t>
      </w:r>
      <w:r>
        <w:rPr>
          <w:rFonts w:eastAsia="仿宋_GB2312"/>
          <w:szCs w:val="32"/>
        </w:rPr>
        <w:t>　为进一步加强和规范本市体育赛事活动安全监管工作，确保高危险性体育赛事活动安全有序开展，切实保护人民群众生命安全、身体健康和财产安全，根据《中华人民共和国体育法》、《体育赛事活动管理办法》、《体育总局关于做好高危险性体育赛事活动管理工作的通知》（体政规字〔2023〕2号）等法律、法规、规章及有关文件规定，结合本市实际，制定本办法。</w:t>
      </w:r>
    </w:p>
    <w:p w14:paraId="3E57429A">
      <w:pPr>
        <w:pStyle w:val="2"/>
        <w:ind w:firstLine="624" w:firstLineChars="200"/>
        <w:rPr>
          <w:rFonts w:eastAsia="仿宋_GB2312"/>
          <w:szCs w:val="32"/>
        </w:rPr>
      </w:pPr>
      <w:r>
        <w:rPr>
          <w:rFonts w:hint="eastAsia" w:ascii="黑体" w:hAnsi="黑体" w:eastAsia="黑体" w:cs="黑体"/>
          <w:szCs w:val="32"/>
        </w:rPr>
        <w:t>第二条</w:t>
      </w:r>
      <w:r>
        <w:rPr>
          <w:rFonts w:eastAsia="仿宋_GB2312"/>
          <w:szCs w:val="32"/>
        </w:rPr>
        <w:t>　本办法适用于在本市行政区域内依法举办的体育赛事活动安全监管工作。</w:t>
      </w:r>
    </w:p>
    <w:p w14:paraId="7ADE98D0">
      <w:pPr>
        <w:pStyle w:val="2"/>
        <w:ind w:firstLine="624" w:firstLineChars="200"/>
        <w:rPr>
          <w:rFonts w:eastAsia="仿宋_GB2312"/>
          <w:szCs w:val="32"/>
        </w:rPr>
      </w:pPr>
      <w:r>
        <w:rPr>
          <w:rFonts w:eastAsia="仿宋_GB2312"/>
          <w:szCs w:val="32"/>
        </w:rPr>
        <w:t>本市各级机关、企事业单位组织的本系统、本单位体育赛事活动安全监管工作，不适用本办法。</w:t>
      </w:r>
    </w:p>
    <w:p w14:paraId="79E459A7">
      <w:pPr>
        <w:pStyle w:val="2"/>
        <w:ind w:firstLine="624" w:firstLineChars="200"/>
        <w:rPr>
          <w:rFonts w:eastAsia="仿宋_GB2312"/>
          <w:szCs w:val="32"/>
        </w:rPr>
      </w:pPr>
      <w:r>
        <w:rPr>
          <w:rFonts w:hint="eastAsia" w:ascii="黑体" w:hAnsi="黑体" w:eastAsia="黑体" w:cs="黑体"/>
          <w:szCs w:val="32"/>
        </w:rPr>
        <w:t>第三条</w:t>
      </w:r>
      <w:r>
        <w:rPr>
          <w:rFonts w:eastAsia="仿宋_GB2312"/>
          <w:szCs w:val="32"/>
        </w:rPr>
        <w:t>　本市体育赛事活动安全监管工作按照</w:t>
      </w:r>
      <w:r>
        <w:rPr>
          <w:rFonts w:hint="eastAsia" w:ascii="仿宋_GB2312" w:hAnsi="仿宋_GB2312" w:eastAsia="仿宋_GB2312" w:cs="仿宋_GB2312"/>
          <w:szCs w:val="32"/>
        </w:rPr>
        <w:t>“谁审批谁负责、谁主办谁负责、谁主管谁负责”</w:t>
      </w:r>
      <w:r>
        <w:rPr>
          <w:rFonts w:eastAsia="仿宋_GB2312"/>
          <w:szCs w:val="32"/>
        </w:rPr>
        <w:t>原则，坚持政府监管与行业自律相结合，实行分级分类管理，强化事中事后监管。</w:t>
      </w:r>
    </w:p>
    <w:p w14:paraId="5E589DEF">
      <w:pPr>
        <w:pStyle w:val="2"/>
        <w:ind w:firstLine="624" w:firstLineChars="200"/>
        <w:rPr>
          <w:rFonts w:eastAsia="仿宋_GB2312"/>
          <w:szCs w:val="32"/>
        </w:rPr>
      </w:pPr>
      <w:r>
        <w:rPr>
          <w:rFonts w:hint="eastAsia" w:ascii="黑体" w:hAnsi="黑体" w:eastAsia="黑体" w:cs="黑体"/>
          <w:szCs w:val="32"/>
        </w:rPr>
        <w:t>第四条</w:t>
      </w:r>
      <w:r>
        <w:rPr>
          <w:rFonts w:eastAsia="仿宋_GB2312"/>
          <w:szCs w:val="32"/>
        </w:rPr>
        <w:t>　市和区体育行政部门对本行政区域内举办的体育赛事活动承担安全监管责任，市和区人民政府有关部门依照职责承担相应安全监管责任。</w:t>
      </w:r>
    </w:p>
    <w:p w14:paraId="222C52D5">
      <w:pPr>
        <w:pStyle w:val="2"/>
        <w:ind w:firstLine="624" w:firstLineChars="200"/>
        <w:rPr>
          <w:rFonts w:eastAsia="仿宋_GB2312"/>
          <w:szCs w:val="32"/>
        </w:rPr>
      </w:pPr>
      <w:r>
        <w:rPr>
          <w:rFonts w:hint="eastAsia" w:ascii="黑体" w:hAnsi="黑体" w:eastAsia="黑体" w:cs="黑体"/>
          <w:szCs w:val="32"/>
        </w:rPr>
        <w:t>第五条</w:t>
      </w:r>
      <w:r>
        <w:rPr>
          <w:rFonts w:eastAsia="仿宋_GB2312"/>
          <w:szCs w:val="32"/>
        </w:rPr>
        <w:t>　市和区体育总会、单项体育协会以及其他体育协会按照法律、法规及各自章程，负责相关体育赛事活动的组织、服务、引导和规范工作。</w:t>
      </w:r>
    </w:p>
    <w:p w14:paraId="08F1F19E">
      <w:pPr>
        <w:pStyle w:val="2"/>
        <w:ind w:firstLine="612" w:firstLineChars="196"/>
        <w:rPr>
          <w:rFonts w:eastAsia="仿宋_GB2312"/>
          <w:szCs w:val="32"/>
        </w:rPr>
      </w:pPr>
    </w:p>
    <w:p w14:paraId="10FC9A4C">
      <w:pPr>
        <w:pStyle w:val="2"/>
        <w:jc w:val="center"/>
        <w:rPr>
          <w:rFonts w:ascii="黑体" w:hAnsi="黑体" w:eastAsia="黑体" w:cs="黑体"/>
          <w:szCs w:val="32"/>
        </w:rPr>
      </w:pPr>
      <w:r>
        <w:rPr>
          <w:rFonts w:ascii="黑体" w:hAnsi="黑体" w:eastAsia="黑体" w:cs="黑体"/>
          <w:szCs w:val="32"/>
        </w:rPr>
        <w:t>第二章　体育赛事活动安全保障</w:t>
      </w:r>
    </w:p>
    <w:p w14:paraId="25D5BBD8">
      <w:pPr>
        <w:pStyle w:val="2"/>
        <w:ind w:firstLine="624" w:firstLineChars="200"/>
        <w:rPr>
          <w:rFonts w:eastAsia="仿宋_GB2312"/>
          <w:szCs w:val="32"/>
        </w:rPr>
      </w:pPr>
    </w:p>
    <w:p w14:paraId="2EEBCF65">
      <w:pPr>
        <w:pStyle w:val="2"/>
        <w:ind w:firstLine="624" w:firstLineChars="200"/>
        <w:rPr>
          <w:rFonts w:eastAsia="仿宋_GB2312"/>
          <w:szCs w:val="32"/>
        </w:rPr>
      </w:pPr>
      <w:r>
        <w:rPr>
          <w:rFonts w:hint="eastAsia" w:ascii="黑体" w:hAnsi="黑体" w:eastAsia="黑体" w:cs="黑体"/>
          <w:szCs w:val="32"/>
        </w:rPr>
        <w:t>第六条</w:t>
      </w:r>
      <w:r>
        <w:rPr>
          <w:rFonts w:eastAsia="仿宋_GB2312"/>
          <w:szCs w:val="32"/>
        </w:rPr>
        <w:t>　主办方、承办方、协办方等体育赛事活动组织者（以下统称体育赛事活动组织者）应当履行安全保障义务，对体育赛事活动安全负责，赛前应当通过书面协议方式约定权利义务和责任分工。</w:t>
      </w:r>
    </w:p>
    <w:p w14:paraId="7782044B">
      <w:pPr>
        <w:pStyle w:val="2"/>
        <w:ind w:firstLine="624" w:firstLineChars="200"/>
        <w:rPr>
          <w:rFonts w:eastAsia="仿宋_GB2312"/>
          <w:szCs w:val="32"/>
        </w:rPr>
      </w:pPr>
      <w:r>
        <w:rPr>
          <w:rFonts w:hint="eastAsia" w:ascii="黑体" w:hAnsi="黑体" w:eastAsia="黑体" w:cs="黑体"/>
          <w:szCs w:val="32"/>
        </w:rPr>
        <w:t>第七条</w:t>
      </w:r>
      <w:r>
        <w:rPr>
          <w:rFonts w:eastAsia="仿宋_GB2312"/>
          <w:szCs w:val="32"/>
        </w:rPr>
        <w:t>　体育赛事活动主办方负责统筹做好体育赛事活动安全保障工作，制定赛事组织方案，发布赛事文件，向参赛各方告知</w:t>
      </w:r>
      <w:r>
        <w:rPr>
          <w:rFonts w:hint="eastAsia" w:ascii="仿宋_GB2312" w:hAnsi="仿宋_GB2312" w:eastAsia="仿宋_GB2312" w:cs="仿宋_GB2312"/>
          <w:szCs w:val="32"/>
        </w:rPr>
        <w:t>“熔断”</w:t>
      </w:r>
      <w:r>
        <w:rPr>
          <w:rFonts w:eastAsia="仿宋_GB2312"/>
          <w:szCs w:val="32"/>
        </w:rPr>
        <w:t>机制启动条件、程序、处置措施、法律后果等内容，任命技术代表、纠纷解决委员会成员、总裁判长及委派主要裁判等；与承办方共同建立组委会等组织机制，明确分工和责任，加强协同合作，根据需要组建竞赛、安全、新闻、医疗、外联、市场开发、综合保障、志愿服务等专门委员会或工作部门。</w:t>
      </w:r>
    </w:p>
    <w:p w14:paraId="2391DC7D">
      <w:pPr>
        <w:pStyle w:val="2"/>
        <w:ind w:firstLine="624" w:firstLineChars="200"/>
        <w:rPr>
          <w:rFonts w:eastAsia="仿宋_GB2312"/>
          <w:szCs w:val="32"/>
        </w:rPr>
      </w:pPr>
      <w:r>
        <w:rPr>
          <w:rFonts w:hint="eastAsia" w:ascii="黑体" w:hAnsi="黑体" w:eastAsia="黑体" w:cs="黑体"/>
          <w:szCs w:val="32"/>
        </w:rPr>
        <w:t>第八条</w:t>
      </w:r>
      <w:r>
        <w:rPr>
          <w:rFonts w:eastAsia="仿宋_GB2312"/>
          <w:szCs w:val="32"/>
        </w:rPr>
        <w:t>　体育赛事活动承办方应当根据赛事组织方案，落实各项安全保障工作，召开体育赛事活动风险研判分析会议，制定风险防范及应急处置预案和安全工作方案等并督促落实，确保体育赛事活动安全。</w:t>
      </w:r>
    </w:p>
    <w:p w14:paraId="3995AC03">
      <w:pPr>
        <w:pStyle w:val="2"/>
        <w:ind w:firstLine="624" w:firstLineChars="200"/>
        <w:rPr>
          <w:rFonts w:eastAsia="仿宋_GB2312"/>
          <w:szCs w:val="32"/>
        </w:rPr>
      </w:pPr>
      <w:r>
        <w:rPr>
          <w:rFonts w:hint="eastAsia" w:ascii="黑体" w:hAnsi="黑体" w:eastAsia="黑体" w:cs="黑体"/>
          <w:szCs w:val="32"/>
        </w:rPr>
        <w:t>第九条</w:t>
      </w:r>
      <w:r>
        <w:rPr>
          <w:rFonts w:eastAsia="仿宋_GB2312"/>
          <w:szCs w:val="32"/>
        </w:rPr>
        <w:t>　体育赛事活动主办方、承办方应当共同做好体育赛事活动安全保障工作，科学有效防控风险，具体包括下列事项：</w:t>
      </w:r>
    </w:p>
    <w:p w14:paraId="659E5E70">
      <w:pPr>
        <w:pStyle w:val="2"/>
        <w:ind w:firstLine="624" w:firstLineChars="200"/>
        <w:rPr>
          <w:rFonts w:eastAsia="仿宋_GB2312"/>
          <w:szCs w:val="32"/>
        </w:rPr>
      </w:pPr>
      <w:r>
        <w:rPr>
          <w:rFonts w:eastAsia="仿宋_GB2312"/>
          <w:szCs w:val="32"/>
        </w:rPr>
        <w:t>（一）根据体育赛事活动实际配备具有相应资格或资质的专业技术人员。</w:t>
      </w:r>
    </w:p>
    <w:p w14:paraId="700EDC4B">
      <w:pPr>
        <w:pStyle w:val="2"/>
        <w:ind w:firstLine="624" w:firstLineChars="200"/>
        <w:rPr>
          <w:rFonts w:eastAsia="仿宋_GB2312"/>
          <w:szCs w:val="32"/>
        </w:rPr>
      </w:pPr>
      <w:r>
        <w:rPr>
          <w:rFonts w:eastAsia="仿宋_GB2312"/>
          <w:szCs w:val="32"/>
        </w:rPr>
        <w:t>（二）落实保障体育赛事活动正常举办所需的资金，配置符合相关标准和要求的场地、器材和设施。</w:t>
      </w:r>
    </w:p>
    <w:p w14:paraId="633A4497">
      <w:pPr>
        <w:pStyle w:val="2"/>
        <w:ind w:firstLine="624" w:firstLineChars="200"/>
        <w:rPr>
          <w:rFonts w:eastAsia="仿宋_GB2312"/>
          <w:szCs w:val="32"/>
        </w:rPr>
      </w:pPr>
      <w:r>
        <w:rPr>
          <w:rFonts w:eastAsia="仿宋_GB2312"/>
          <w:szCs w:val="32"/>
        </w:rPr>
        <w:t>（三）严格落实通信、医疗、卫生健康、食品、交通、安全保卫、应急救援、消防、生态保护等保障措施，制定相关工作方案和应急预案。</w:t>
      </w:r>
    </w:p>
    <w:p w14:paraId="61A9CE26">
      <w:pPr>
        <w:pStyle w:val="2"/>
        <w:ind w:firstLine="624" w:firstLineChars="200"/>
        <w:rPr>
          <w:rFonts w:eastAsia="仿宋_GB2312"/>
          <w:szCs w:val="32"/>
        </w:rPr>
      </w:pPr>
      <w:r>
        <w:rPr>
          <w:rFonts w:eastAsia="仿宋_GB2312"/>
          <w:szCs w:val="32"/>
        </w:rPr>
        <w:t>（四）按照国家有关规定履行体育赛事活动反兴奋剂职责，积极配合反兴奋剂组织开展宣传教育、检查调查等工作，采取措施防范兴奋剂风险隐患，在管理权限内对兴奋剂违规问题作出处理。</w:t>
      </w:r>
    </w:p>
    <w:p w14:paraId="01013AC4">
      <w:pPr>
        <w:pStyle w:val="2"/>
        <w:ind w:firstLine="624" w:firstLineChars="200"/>
        <w:rPr>
          <w:rFonts w:eastAsia="仿宋_GB2312"/>
          <w:szCs w:val="32"/>
        </w:rPr>
      </w:pPr>
      <w:r>
        <w:rPr>
          <w:rFonts w:eastAsia="仿宋_GB2312"/>
          <w:szCs w:val="32"/>
        </w:rPr>
        <w:t>（五）建立信息安全管理制度，不得违法使用和泄露体育赛事活动参与者个人、法人和非法人组织的相关信息。</w:t>
      </w:r>
    </w:p>
    <w:p w14:paraId="3E71259A">
      <w:pPr>
        <w:pStyle w:val="2"/>
        <w:ind w:firstLine="624" w:firstLineChars="200"/>
        <w:rPr>
          <w:rFonts w:eastAsia="仿宋_GB2312"/>
          <w:szCs w:val="32"/>
        </w:rPr>
      </w:pPr>
      <w:r>
        <w:rPr>
          <w:rFonts w:eastAsia="仿宋_GB2312"/>
          <w:szCs w:val="32"/>
        </w:rPr>
        <w:t>（六）体育赛事活动对参赛者身体条件有特殊要求的，应当要求参赛者提供符合该体育赛事活动要求的身体状况证明；无民事行为能力或限制民事行为能力人单独参加体育赛事活动的，应当告知其监护人相关风险并由监护人签署承诺书。</w:t>
      </w:r>
    </w:p>
    <w:p w14:paraId="178088A3">
      <w:pPr>
        <w:pStyle w:val="2"/>
        <w:ind w:firstLine="624" w:firstLineChars="200"/>
        <w:rPr>
          <w:rFonts w:eastAsia="仿宋_GB2312"/>
          <w:szCs w:val="32"/>
        </w:rPr>
      </w:pPr>
      <w:r>
        <w:rPr>
          <w:rFonts w:eastAsia="仿宋_GB2312"/>
          <w:szCs w:val="32"/>
        </w:rPr>
        <w:t>（七）加强赛风赛纪管理，确保体育赛事活动公平公正开展。</w:t>
      </w:r>
    </w:p>
    <w:p w14:paraId="059B94D1">
      <w:pPr>
        <w:pStyle w:val="2"/>
        <w:ind w:firstLine="624" w:firstLineChars="200"/>
        <w:rPr>
          <w:rFonts w:eastAsia="仿宋_GB2312"/>
          <w:szCs w:val="32"/>
        </w:rPr>
      </w:pPr>
      <w:r>
        <w:rPr>
          <w:rFonts w:eastAsia="仿宋_GB2312"/>
          <w:szCs w:val="32"/>
        </w:rPr>
        <w:t>（八）法律、法规、规章规定的其他事项。</w:t>
      </w:r>
    </w:p>
    <w:p w14:paraId="7B970C40">
      <w:pPr>
        <w:pStyle w:val="2"/>
        <w:ind w:firstLine="624" w:firstLineChars="200"/>
        <w:rPr>
          <w:rFonts w:eastAsia="仿宋_GB2312"/>
          <w:szCs w:val="32"/>
        </w:rPr>
      </w:pPr>
      <w:r>
        <w:rPr>
          <w:rFonts w:hint="eastAsia" w:ascii="黑体" w:hAnsi="黑体" w:eastAsia="黑体" w:cs="黑体"/>
          <w:szCs w:val="32"/>
        </w:rPr>
        <w:t>第十条</w:t>
      </w:r>
      <w:r>
        <w:rPr>
          <w:rFonts w:eastAsia="仿宋_GB2312"/>
          <w:szCs w:val="32"/>
        </w:rPr>
        <w:t>　体育赛事活动协办方为体育赛事活动提供业务指导或者物质、人力支持，应当确保其提供的产品、设施或服务符合赛事要求及相关技术和安全标准。</w:t>
      </w:r>
    </w:p>
    <w:p w14:paraId="6AE15B59">
      <w:pPr>
        <w:pStyle w:val="2"/>
        <w:ind w:firstLine="624" w:firstLineChars="200"/>
        <w:rPr>
          <w:rFonts w:eastAsia="仿宋_GB2312"/>
          <w:szCs w:val="32"/>
        </w:rPr>
      </w:pPr>
      <w:r>
        <w:rPr>
          <w:rFonts w:hint="eastAsia" w:ascii="黑体" w:hAnsi="黑体" w:eastAsia="黑体" w:cs="黑体"/>
          <w:szCs w:val="32"/>
        </w:rPr>
        <w:t>第十一条</w:t>
      </w:r>
      <w:r>
        <w:rPr>
          <w:rFonts w:eastAsia="仿宋_GB2312"/>
          <w:szCs w:val="32"/>
        </w:rPr>
        <w:t>　体育赛事活动场所管理者负责下列安全事项：</w:t>
      </w:r>
    </w:p>
    <w:p w14:paraId="42C657D2">
      <w:pPr>
        <w:pStyle w:val="2"/>
        <w:ind w:firstLine="624" w:firstLineChars="200"/>
        <w:rPr>
          <w:rFonts w:eastAsia="仿宋_GB2312"/>
          <w:szCs w:val="32"/>
        </w:rPr>
      </w:pPr>
      <w:r>
        <w:rPr>
          <w:rFonts w:eastAsia="仿宋_GB2312"/>
          <w:szCs w:val="32"/>
        </w:rPr>
        <w:t>（一）保障体育赛事活动疏散通道、安全出口、消防车通道、应急广播、应急照明、疏散指示标志等符合法律、法规、规章及有关技术标准规定；</w:t>
      </w:r>
    </w:p>
    <w:p w14:paraId="6B3B5B9D">
      <w:pPr>
        <w:pStyle w:val="2"/>
        <w:ind w:firstLine="624" w:firstLineChars="200"/>
        <w:rPr>
          <w:rFonts w:eastAsia="仿宋_GB2312"/>
          <w:szCs w:val="32"/>
        </w:rPr>
      </w:pPr>
      <w:r>
        <w:rPr>
          <w:rFonts w:eastAsia="仿宋_GB2312"/>
          <w:szCs w:val="32"/>
        </w:rPr>
        <w:t>（二）保障体育赛事活动消防设施和器材配置齐全、完好有效；</w:t>
      </w:r>
    </w:p>
    <w:p w14:paraId="79681142">
      <w:pPr>
        <w:pStyle w:val="2"/>
        <w:ind w:firstLine="624" w:firstLineChars="200"/>
        <w:rPr>
          <w:rFonts w:eastAsia="仿宋_GB2312"/>
          <w:szCs w:val="32"/>
        </w:rPr>
      </w:pPr>
      <w:r>
        <w:rPr>
          <w:rFonts w:eastAsia="仿宋_GB2312"/>
          <w:szCs w:val="32"/>
        </w:rPr>
        <w:t>（三）体育赛事活动举办过程中若发生公共安全事故等突发情况，应当在力所能及的范围内协助承担应急救援等救助任务。</w:t>
      </w:r>
    </w:p>
    <w:p w14:paraId="208A9947">
      <w:pPr>
        <w:pStyle w:val="2"/>
        <w:ind w:firstLine="624" w:firstLineChars="200"/>
        <w:rPr>
          <w:rFonts w:eastAsia="仿宋_GB2312"/>
          <w:szCs w:val="32"/>
        </w:rPr>
      </w:pPr>
      <w:r>
        <w:rPr>
          <w:rFonts w:hint="eastAsia" w:ascii="黑体" w:hAnsi="黑体" w:eastAsia="黑体" w:cs="黑体"/>
          <w:szCs w:val="32"/>
        </w:rPr>
        <w:t>第十二条</w:t>
      </w:r>
      <w:r>
        <w:rPr>
          <w:rFonts w:eastAsia="仿宋_GB2312"/>
          <w:szCs w:val="32"/>
        </w:rPr>
        <w:t>　体育赛事活动相关人员（包括体育赛事活动组织者及其工作人员、参赛者、教练员、裁判员、志愿者、医护人员、观众等）应当履行诚信、安全、有序的办赛、参赛、观赛义务，并遵守下列规定：</w:t>
      </w:r>
    </w:p>
    <w:p w14:paraId="464FB98F">
      <w:pPr>
        <w:pStyle w:val="2"/>
        <w:ind w:firstLine="624" w:firstLineChars="200"/>
        <w:rPr>
          <w:rFonts w:eastAsia="仿宋_GB2312"/>
          <w:szCs w:val="32"/>
        </w:rPr>
      </w:pPr>
      <w:r>
        <w:rPr>
          <w:rFonts w:eastAsia="仿宋_GB2312"/>
          <w:szCs w:val="32"/>
        </w:rPr>
        <w:t>（一）遵守有关法律、法规、规章规定；</w:t>
      </w:r>
    </w:p>
    <w:p w14:paraId="0FCFA528">
      <w:pPr>
        <w:pStyle w:val="2"/>
        <w:ind w:firstLine="624" w:firstLineChars="200"/>
        <w:rPr>
          <w:rFonts w:eastAsia="仿宋_GB2312"/>
          <w:szCs w:val="32"/>
        </w:rPr>
      </w:pPr>
      <w:r>
        <w:rPr>
          <w:rFonts w:eastAsia="仿宋_GB2312"/>
          <w:szCs w:val="32"/>
        </w:rPr>
        <w:t>（二）遵守体育道德，不得弄虚作假、徇私舞弊、操纵比赛、冒名顶替，严禁参加任何形式的赌博活动，严禁使用兴奋剂；</w:t>
      </w:r>
    </w:p>
    <w:p w14:paraId="5D3E16CC">
      <w:pPr>
        <w:pStyle w:val="2"/>
        <w:ind w:firstLine="624" w:firstLineChars="200"/>
        <w:rPr>
          <w:rFonts w:eastAsia="仿宋_GB2312"/>
          <w:szCs w:val="32"/>
        </w:rPr>
      </w:pPr>
      <w:r>
        <w:rPr>
          <w:rFonts w:eastAsia="仿宋_GB2312"/>
          <w:szCs w:val="32"/>
        </w:rPr>
        <w:t>（三）遵守竞赛规则、规程、赛场行为规范和组委会的相关规定，自觉接受安全检查，服从现场管理，维护体育赛事活动正常秩序；</w:t>
      </w:r>
    </w:p>
    <w:p w14:paraId="06B2C34B">
      <w:pPr>
        <w:pStyle w:val="2"/>
        <w:ind w:firstLine="624" w:firstLineChars="200"/>
        <w:rPr>
          <w:rFonts w:eastAsia="仿宋_GB2312"/>
          <w:szCs w:val="32"/>
        </w:rPr>
      </w:pPr>
      <w:r>
        <w:rPr>
          <w:rFonts w:eastAsia="仿宋_GB2312"/>
          <w:szCs w:val="32"/>
        </w:rPr>
        <w:t>（四）遵守社会公德，不得损坏体育设施，不得破坏自然环境和卫生，不得影响和妨碍公共安全，不得违反社会公序良俗；</w:t>
      </w:r>
    </w:p>
    <w:p w14:paraId="5FF47847">
      <w:pPr>
        <w:pStyle w:val="2"/>
        <w:ind w:firstLine="624" w:firstLineChars="200"/>
        <w:rPr>
          <w:rFonts w:eastAsia="仿宋_GB2312"/>
          <w:szCs w:val="32"/>
        </w:rPr>
      </w:pPr>
      <w:r>
        <w:rPr>
          <w:rFonts w:eastAsia="仿宋_GB2312"/>
          <w:szCs w:val="32"/>
        </w:rPr>
        <w:t>（五）自觉践行社会主义核心价值观，弘扬中华体育精神，积极营造健康向上、和谐文明的赛场文化氛围和舆论宣传氛围。</w:t>
      </w:r>
    </w:p>
    <w:p w14:paraId="51A8A840">
      <w:pPr>
        <w:pStyle w:val="2"/>
        <w:ind w:firstLine="624" w:firstLineChars="200"/>
        <w:rPr>
          <w:rFonts w:eastAsia="仿宋_GB2312"/>
          <w:szCs w:val="32"/>
        </w:rPr>
      </w:pPr>
      <w:bookmarkStart w:id="0" w:name="_GoBack"/>
      <w:bookmarkEnd w:id="0"/>
    </w:p>
    <w:p w14:paraId="25B9055C">
      <w:pPr>
        <w:pStyle w:val="2"/>
        <w:jc w:val="center"/>
        <w:rPr>
          <w:rFonts w:ascii="黑体" w:hAnsi="黑体" w:eastAsia="黑体" w:cs="黑体"/>
          <w:szCs w:val="32"/>
        </w:rPr>
      </w:pPr>
      <w:r>
        <w:rPr>
          <w:rFonts w:ascii="黑体" w:hAnsi="黑体" w:eastAsia="黑体" w:cs="黑体"/>
          <w:szCs w:val="32"/>
        </w:rPr>
        <w:t>第三章　体育赛事活动安全监管</w:t>
      </w:r>
    </w:p>
    <w:p w14:paraId="5A5673A9">
      <w:pPr>
        <w:pStyle w:val="2"/>
        <w:ind w:firstLine="624" w:firstLineChars="200"/>
        <w:rPr>
          <w:rFonts w:eastAsia="仿宋_GB2312"/>
          <w:szCs w:val="32"/>
        </w:rPr>
      </w:pPr>
    </w:p>
    <w:p w14:paraId="6311332A">
      <w:pPr>
        <w:pStyle w:val="2"/>
        <w:ind w:firstLine="624" w:firstLineChars="200"/>
        <w:rPr>
          <w:rFonts w:eastAsia="仿宋_GB2312"/>
          <w:szCs w:val="32"/>
        </w:rPr>
      </w:pPr>
      <w:r>
        <w:rPr>
          <w:rFonts w:hint="eastAsia" w:ascii="黑体" w:hAnsi="黑体" w:eastAsia="黑体" w:cs="黑体"/>
          <w:szCs w:val="32"/>
        </w:rPr>
        <w:t>第十三条</w:t>
      </w:r>
      <w:r>
        <w:rPr>
          <w:rFonts w:eastAsia="仿宋_GB2312"/>
          <w:szCs w:val="32"/>
        </w:rPr>
        <w:t>　市和区体育行政部门应当结合实际建立健全体育赛事活动风险识别、评估及应对工作机制；按照属地管理原则，做好体育赛事活动突发事件应对工作，建立健全体育赛事活动</w:t>
      </w:r>
      <w:r>
        <w:rPr>
          <w:rFonts w:hint="eastAsia" w:ascii="仿宋_GB2312" w:hAnsi="仿宋_GB2312" w:eastAsia="仿宋_GB2312" w:cs="仿宋_GB2312"/>
          <w:szCs w:val="32"/>
        </w:rPr>
        <w:t>“熔断”</w:t>
      </w:r>
      <w:r>
        <w:rPr>
          <w:rFonts w:eastAsia="仿宋_GB2312"/>
          <w:szCs w:val="32"/>
        </w:rPr>
        <w:t>机制。</w:t>
      </w:r>
    </w:p>
    <w:p w14:paraId="0A7F3978">
      <w:pPr>
        <w:pStyle w:val="2"/>
        <w:ind w:firstLine="624" w:firstLineChars="200"/>
        <w:rPr>
          <w:rFonts w:eastAsia="仿宋_GB2312"/>
          <w:szCs w:val="32"/>
        </w:rPr>
      </w:pPr>
      <w:r>
        <w:rPr>
          <w:rFonts w:hint="eastAsia" w:ascii="黑体" w:hAnsi="黑体" w:eastAsia="黑体" w:cs="黑体"/>
          <w:szCs w:val="32"/>
        </w:rPr>
        <w:t>第十四条</w:t>
      </w:r>
      <w:r>
        <w:rPr>
          <w:rFonts w:eastAsia="仿宋_GB2312"/>
          <w:szCs w:val="32"/>
        </w:rPr>
        <w:t>　体育赛事活动组织者应当密切关注气象、水务、地震、规划资源、卫生健康、应急管理等部门发出的预警信息及有关灾害、事故信息，遇到自然灾害、事故灾难、公共卫生事件、社会安全事件或其他可能导致不再具备办赛条件的情形时，应当及时启动</w:t>
      </w:r>
      <w:r>
        <w:rPr>
          <w:rFonts w:hint="eastAsia" w:ascii="仿宋_GB2312" w:hAnsi="仿宋_GB2312" w:eastAsia="仿宋_GB2312" w:cs="仿宋_GB2312"/>
          <w:szCs w:val="32"/>
        </w:rPr>
        <w:t>“熔断”</w:t>
      </w:r>
      <w:r>
        <w:rPr>
          <w:rFonts w:eastAsia="仿宋_GB2312"/>
          <w:szCs w:val="32"/>
        </w:rPr>
        <w:t>机制，按照国家和本市有关规定中止比赛，最大程度保障人民群众生命财产安全。</w:t>
      </w:r>
    </w:p>
    <w:p w14:paraId="0990034F">
      <w:pPr>
        <w:pStyle w:val="2"/>
        <w:ind w:firstLine="624" w:firstLineChars="200"/>
        <w:rPr>
          <w:rFonts w:eastAsia="仿宋_GB2312"/>
          <w:szCs w:val="32"/>
        </w:rPr>
      </w:pPr>
      <w:r>
        <w:rPr>
          <w:rFonts w:eastAsia="仿宋_GB2312"/>
          <w:szCs w:val="32"/>
        </w:rPr>
        <w:t>启动</w:t>
      </w:r>
      <w:r>
        <w:rPr>
          <w:rFonts w:hint="eastAsia" w:ascii="仿宋_GB2312" w:hAnsi="仿宋_GB2312" w:eastAsia="仿宋_GB2312" w:cs="仿宋_GB2312"/>
          <w:szCs w:val="32"/>
        </w:rPr>
        <w:t>“熔断”</w:t>
      </w:r>
      <w:r>
        <w:rPr>
          <w:rFonts w:eastAsia="仿宋_GB2312"/>
          <w:szCs w:val="32"/>
        </w:rPr>
        <w:t>机制后，体育赛事活动组织者和体育行政部门应当会同同级人民政府有关部门做好应急处置</w:t>
      </w:r>
      <w:r>
        <w:rPr>
          <w:rFonts w:hint="eastAsia" w:eastAsia="仿宋_GB2312"/>
          <w:szCs w:val="32"/>
        </w:rPr>
        <w:t>和善后处置</w:t>
      </w:r>
      <w:r>
        <w:rPr>
          <w:rFonts w:eastAsia="仿宋_GB2312"/>
          <w:szCs w:val="32"/>
        </w:rPr>
        <w:t>工作，疏散、撤离并妥善安置和救助现场人员，同时采取措施防范次生灾害和衍生事件发生，并及时发布相关信息。</w:t>
      </w:r>
    </w:p>
    <w:p w14:paraId="32669A83">
      <w:pPr>
        <w:pStyle w:val="2"/>
        <w:ind w:firstLine="624" w:firstLineChars="200"/>
        <w:rPr>
          <w:rFonts w:eastAsia="仿宋_GB2312"/>
          <w:szCs w:val="32"/>
        </w:rPr>
      </w:pPr>
      <w:r>
        <w:rPr>
          <w:rFonts w:hint="eastAsia" w:ascii="黑体" w:hAnsi="黑体" w:eastAsia="黑体" w:cs="黑体"/>
          <w:szCs w:val="32"/>
        </w:rPr>
        <w:t>第十五条</w:t>
      </w:r>
      <w:r>
        <w:rPr>
          <w:rFonts w:eastAsia="仿宋_GB2312"/>
          <w:szCs w:val="32"/>
        </w:rPr>
        <w:t>　市和区体育行政部门应当全面掌握本行政区域内体育赛事活动筹办情况，督促体育赛事活动组织者填报赛事信息，及时统计、发布年度体育赛事活动计划，推动赛事信息公开透明，将参与人数较多、人身危险性较高、专业技术性要求较强的体育赛事活动列入重点监管范围。</w:t>
      </w:r>
    </w:p>
    <w:p w14:paraId="176C98DA">
      <w:pPr>
        <w:pStyle w:val="2"/>
        <w:ind w:firstLine="624" w:firstLineChars="200"/>
        <w:rPr>
          <w:rFonts w:eastAsia="仿宋_GB2312"/>
          <w:szCs w:val="32"/>
        </w:rPr>
      </w:pPr>
      <w:r>
        <w:rPr>
          <w:rFonts w:eastAsia="仿宋_GB2312"/>
          <w:szCs w:val="32"/>
        </w:rPr>
        <w:t>鼓励主办方在举办体育赛事活动前主动向举办地所在区体育行政部门备案。</w:t>
      </w:r>
    </w:p>
    <w:p w14:paraId="6BD420E7">
      <w:pPr>
        <w:pStyle w:val="2"/>
        <w:ind w:firstLine="624" w:firstLineChars="200"/>
        <w:rPr>
          <w:rFonts w:eastAsia="仿宋_GB2312"/>
          <w:szCs w:val="32"/>
        </w:rPr>
      </w:pPr>
      <w:r>
        <w:rPr>
          <w:rFonts w:hint="eastAsia" w:ascii="黑体" w:hAnsi="黑体" w:eastAsia="黑体" w:cs="黑体"/>
          <w:szCs w:val="32"/>
        </w:rPr>
        <w:t>第十六条</w:t>
      </w:r>
      <w:r>
        <w:rPr>
          <w:rFonts w:eastAsia="仿宋_GB2312"/>
          <w:szCs w:val="32"/>
        </w:rPr>
        <w:t>　市和区体育行政部门主办的体育赛事活动，应当主动购买公众责任保险。大型体育赛事活动组织者应当和参与者协商投保体育意外伤害保险。高危险性体育赛事活动组织者应当为参与者投保体育意外伤害保险。鼓励其他体育赛事活动组织者、参与者购买公众责任保险或意外伤害保险。</w:t>
      </w:r>
    </w:p>
    <w:p w14:paraId="63AD5D9C">
      <w:pPr>
        <w:pStyle w:val="2"/>
        <w:ind w:firstLine="624" w:firstLineChars="200"/>
        <w:rPr>
          <w:rFonts w:eastAsia="仿宋_GB2312"/>
          <w:szCs w:val="32"/>
        </w:rPr>
      </w:pPr>
      <w:r>
        <w:rPr>
          <w:rFonts w:hint="eastAsia" w:ascii="黑体" w:hAnsi="黑体" w:eastAsia="黑体" w:cs="黑体"/>
          <w:szCs w:val="32"/>
        </w:rPr>
        <w:t>第十七条</w:t>
      </w:r>
      <w:r>
        <w:rPr>
          <w:rFonts w:eastAsia="仿宋_GB2312"/>
          <w:szCs w:val="32"/>
        </w:rPr>
        <w:t>　市和区体育行政部门应当建立健全体育赛事活动安全监管工作机制，对赛事活动场地实施现场检查，查阅、复制有关合同、票据、账簿，检查赛事活动组织方案、应急处置预案和安全工作方案等材料。</w:t>
      </w:r>
    </w:p>
    <w:p w14:paraId="190728BE">
      <w:pPr>
        <w:pStyle w:val="2"/>
        <w:ind w:firstLine="624" w:firstLineChars="200"/>
        <w:rPr>
          <w:rFonts w:eastAsia="仿宋_GB2312"/>
          <w:szCs w:val="32"/>
        </w:rPr>
      </w:pPr>
      <w:r>
        <w:rPr>
          <w:rFonts w:eastAsia="仿宋_GB2312"/>
          <w:szCs w:val="32"/>
        </w:rPr>
        <w:t>体育行政部门及其工作人员应当对履行职责中知悉的商业秘密和个人隐私严格保密，不得泄露或者非法向他人提供。</w:t>
      </w:r>
    </w:p>
    <w:p w14:paraId="4C4CDADC">
      <w:pPr>
        <w:pStyle w:val="2"/>
        <w:ind w:firstLine="624" w:firstLineChars="200"/>
        <w:rPr>
          <w:rFonts w:eastAsia="仿宋_GB2312"/>
          <w:szCs w:val="32"/>
        </w:rPr>
      </w:pPr>
      <w:r>
        <w:rPr>
          <w:rFonts w:hint="eastAsia" w:ascii="黑体" w:hAnsi="黑体" w:eastAsia="黑体" w:cs="黑体"/>
          <w:szCs w:val="32"/>
        </w:rPr>
        <w:t>第十八条</w:t>
      </w:r>
      <w:r>
        <w:rPr>
          <w:rFonts w:eastAsia="仿宋_GB2312"/>
          <w:szCs w:val="32"/>
        </w:rPr>
        <w:t>　市和区体育行政部门应当加强体育赛事活动的日常检查和抽查。在体育赛事活动举办前或举办中发现涉嫌不符合体育赛事活动条件、标准、规则等情形的，存在重大安全隐患的，或收到有关单位、个人提出相关建议、投诉、举报的，应当及时予以处理，并提出整改建议。相关组织与个人未及时整改的，市和区体育行政部门可以约谈其法定代表人或主要负责人，要求其及时采取有效措施消除安全风险隐患；属于其他部门职责范围的，应当及时移交并积极配合协助处理。</w:t>
      </w:r>
    </w:p>
    <w:p w14:paraId="132D23E5">
      <w:pPr>
        <w:pStyle w:val="2"/>
        <w:ind w:firstLine="624" w:firstLineChars="200"/>
        <w:rPr>
          <w:rFonts w:eastAsia="仿宋_GB2312"/>
          <w:szCs w:val="32"/>
        </w:rPr>
      </w:pPr>
    </w:p>
    <w:p w14:paraId="088F0BA3">
      <w:pPr>
        <w:pStyle w:val="2"/>
        <w:numPr>
          <w:ilvl w:val="0"/>
          <w:numId w:val="1"/>
        </w:numPr>
        <w:jc w:val="center"/>
        <w:rPr>
          <w:rFonts w:ascii="黑体" w:hAnsi="黑体" w:eastAsia="黑体" w:cs="黑体"/>
          <w:szCs w:val="32"/>
        </w:rPr>
      </w:pPr>
      <w:r>
        <w:rPr>
          <w:rFonts w:ascii="黑体" w:hAnsi="黑体" w:eastAsia="黑体" w:cs="黑体"/>
          <w:szCs w:val="32"/>
        </w:rPr>
        <w:t>高危险性体育赛事活动许可</w:t>
      </w:r>
    </w:p>
    <w:p w14:paraId="76CE014D">
      <w:pPr>
        <w:pStyle w:val="2"/>
        <w:numPr>
          <w:ilvl w:val="0"/>
          <w:numId w:val="0"/>
        </w:numPr>
        <w:jc w:val="both"/>
        <w:rPr>
          <w:rFonts w:ascii="黑体" w:hAnsi="黑体" w:eastAsia="黑体" w:cs="黑体"/>
          <w:szCs w:val="32"/>
        </w:rPr>
      </w:pPr>
    </w:p>
    <w:p w14:paraId="16CCB67A">
      <w:pPr>
        <w:pStyle w:val="2"/>
        <w:ind w:firstLine="624" w:firstLineChars="200"/>
        <w:rPr>
          <w:rFonts w:eastAsia="仿宋_GB2312"/>
          <w:szCs w:val="32"/>
        </w:rPr>
      </w:pPr>
      <w:r>
        <w:rPr>
          <w:rFonts w:hint="eastAsia" w:ascii="黑体" w:hAnsi="黑体" w:eastAsia="黑体" w:cs="黑体"/>
          <w:szCs w:val="32"/>
        </w:rPr>
        <w:t>第十九条</w:t>
      </w:r>
      <w:r>
        <w:rPr>
          <w:rFonts w:eastAsia="仿宋_GB2312"/>
          <w:szCs w:val="32"/>
        </w:rPr>
        <w:t>　举办高危险性体育赛事活动，主办方或受其书面委托的承办方应当向举办地所在区体育行政部门提出许可申请。跨区举办高危险性体育赛事活动的，由有关区体育行政部门协商确定许可方式；协商不一致的，主办方或受其书面委托的承办方须分别向有关区体育行政部门提出许可申请。</w:t>
      </w:r>
    </w:p>
    <w:p w14:paraId="7ACBADD7">
      <w:pPr>
        <w:pStyle w:val="2"/>
        <w:ind w:firstLine="624" w:firstLineChars="200"/>
        <w:rPr>
          <w:rFonts w:eastAsia="仿宋_GB2312"/>
          <w:szCs w:val="32"/>
        </w:rPr>
      </w:pPr>
      <w:r>
        <w:rPr>
          <w:rFonts w:eastAsia="仿宋_GB2312"/>
          <w:szCs w:val="32"/>
        </w:rPr>
        <w:t>由市和区体育行政部门及其事业单位、单项体育协会主办或承办的高危险性体育赛事活动，按照国家有关规定执行。</w:t>
      </w:r>
    </w:p>
    <w:p w14:paraId="328D773E">
      <w:pPr>
        <w:pStyle w:val="2"/>
        <w:ind w:firstLine="624" w:firstLineChars="200"/>
        <w:rPr>
          <w:rFonts w:eastAsia="仿宋_GB2312"/>
          <w:szCs w:val="32"/>
        </w:rPr>
      </w:pPr>
      <w:r>
        <w:rPr>
          <w:rFonts w:hint="eastAsia" w:ascii="黑体" w:hAnsi="黑体" w:eastAsia="黑体" w:cs="黑体"/>
          <w:szCs w:val="32"/>
        </w:rPr>
        <w:t>第二十条</w:t>
      </w:r>
      <w:r>
        <w:rPr>
          <w:rFonts w:eastAsia="仿宋_GB2312"/>
          <w:szCs w:val="32"/>
        </w:rPr>
        <w:t>　举办高危险性体育赛事活动应当符合下列条件：</w:t>
      </w:r>
    </w:p>
    <w:p w14:paraId="4FD98778">
      <w:pPr>
        <w:pStyle w:val="2"/>
        <w:ind w:firstLine="624" w:firstLineChars="200"/>
        <w:rPr>
          <w:rFonts w:eastAsia="仿宋_GB2312"/>
          <w:szCs w:val="32"/>
        </w:rPr>
      </w:pPr>
      <w:r>
        <w:rPr>
          <w:rFonts w:eastAsia="仿宋_GB2312"/>
          <w:szCs w:val="32"/>
        </w:rPr>
        <w:t>（一）配备具有相应资格或资质的专业技术人员；</w:t>
      </w:r>
    </w:p>
    <w:p w14:paraId="50CE5133">
      <w:pPr>
        <w:pStyle w:val="2"/>
        <w:ind w:firstLine="624" w:firstLineChars="200"/>
        <w:rPr>
          <w:rFonts w:eastAsia="仿宋_GB2312"/>
          <w:szCs w:val="32"/>
        </w:rPr>
      </w:pPr>
      <w:r>
        <w:rPr>
          <w:rFonts w:eastAsia="仿宋_GB2312"/>
          <w:szCs w:val="32"/>
        </w:rPr>
        <w:t>（二）配置符合相关标准和要求的场地、器材和设施；</w:t>
      </w:r>
    </w:p>
    <w:p w14:paraId="318D6677">
      <w:pPr>
        <w:pStyle w:val="2"/>
        <w:ind w:firstLine="624" w:firstLineChars="200"/>
        <w:rPr>
          <w:rFonts w:eastAsia="仿宋_GB2312"/>
          <w:szCs w:val="32"/>
        </w:rPr>
      </w:pPr>
      <w:r>
        <w:rPr>
          <w:rFonts w:eastAsia="仿宋_GB2312"/>
          <w:szCs w:val="32"/>
        </w:rPr>
        <w:t>（三）制定通信、安全、交通、卫生健康、食品、应急救援等相关保障措施。</w:t>
      </w:r>
    </w:p>
    <w:p w14:paraId="571B0DC9">
      <w:pPr>
        <w:pStyle w:val="2"/>
        <w:ind w:firstLine="624" w:firstLineChars="200"/>
        <w:rPr>
          <w:rFonts w:eastAsia="仿宋_GB2312"/>
          <w:szCs w:val="32"/>
        </w:rPr>
      </w:pPr>
      <w:r>
        <w:rPr>
          <w:rFonts w:hint="eastAsia" w:ascii="黑体" w:hAnsi="黑体" w:eastAsia="黑体" w:cs="黑体"/>
          <w:szCs w:val="32"/>
        </w:rPr>
        <w:t>第二十一条</w:t>
      </w:r>
      <w:r>
        <w:rPr>
          <w:rFonts w:eastAsia="仿宋_GB2312"/>
          <w:szCs w:val="32"/>
        </w:rPr>
        <w:t>　申请举办高危险性体育赛事活动，应当提交下列材料：</w:t>
      </w:r>
    </w:p>
    <w:p w14:paraId="3D3871EF">
      <w:pPr>
        <w:pStyle w:val="2"/>
        <w:ind w:firstLine="624" w:firstLineChars="200"/>
        <w:rPr>
          <w:rFonts w:eastAsia="仿宋_GB2312"/>
          <w:szCs w:val="32"/>
        </w:rPr>
      </w:pPr>
      <w:r>
        <w:rPr>
          <w:rFonts w:eastAsia="仿宋_GB2312"/>
          <w:szCs w:val="32"/>
        </w:rPr>
        <w:t>（一）申请书，包括体育赛事活动的名称、时间、地点、规模、主办方、承办方、协办方、参赛条件等内容；</w:t>
      </w:r>
    </w:p>
    <w:p w14:paraId="7BCC6FD3">
      <w:pPr>
        <w:pStyle w:val="2"/>
        <w:ind w:firstLine="624" w:firstLineChars="200"/>
        <w:rPr>
          <w:rFonts w:eastAsia="仿宋_GB2312"/>
          <w:szCs w:val="32"/>
        </w:rPr>
      </w:pPr>
      <w:r>
        <w:rPr>
          <w:rFonts w:eastAsia="仿宋_GB2312"/>
          <w:szCs w:val="32"/>
        </w:rPr>
        <w:t>（二）专业技术人员的资格或资质证明材料；</w:t>
      </w:r>
    </w:p>
    <w:p w14:paraId="07E589CD">
      <w:pPr>
        <w:pStyle w:val="2"/>
        <w:ind w:firstLine="624" w:firstLineChars="200"/>
        <w:rPr>
          <w:rFonts w:eastAsia="仿宋_GB2312"/>
          <w:szCs w:val="32"/>
        </w:rPr>
      </w:pPr>
      <w:r>
        <w:rPr>
          <w:rFonts w:eastAsia="仿宋_GB2312"/>
          <w:szCs w:val="32"/>
        </w:rPr>
        <w:t>（三）场地、器材和设施符合相关标准和要求的说明性材料；</w:t>
      </w:r>
    </w:p>
    <w:p w14:paraId="529FDB1B">
      <w:pPr>
        <w:pStyle w:val="2"/>
        <w:ind w:firstLine="624" w:firstLineChars="200"/>
        <w:rPr>
          <w:rFonts w:eastAsia="仿宋_GB2312"/>
          <w:szCs w:val="32"/>
        </w:rPr>
      </w:pPr>
      <w:r>
        <w:rPr>
          <w:rFonts w:eastAsia="仿宋_GB2312"/>
          <w:szCs w:val="32"/>
        </w:rPr>
        <w:t>（四）体育赛事活动组织者用以约定各方权利义务和责任分工的书面协议；</w:t>
      </w:r>
    </w:p>
    <w:p w14:paraId="0014F47A">
      <w:pPr>
        <w:pStyle w:val="2"/>
        <w:ind w:firstLine="624" w:firstLineChars="200"/>
        <w:rPr>
          <w:rFonts w:eastAsia="仿宋_GB2312"/>
          <w:szCs w:val="32"/>
        </w:rPr>
      </w:pPr>
      <w:r>
        <w:rPr>
          <w:rFonts w:eastAsia="仿宋_GB2312"/>
          <w:szCs w:val="32"/>
        </w:rPr>
        <w:t>（五）风险评估报告、风险防范及应急处置预案、安全工作方案、医疗保障及救援方案、赛事活动</w:t>
      </w:r>
      <w:r>
        <w:rPr>
          <w:rFonts w:hint="eastAsia" w:ascii="仿宋_GB2312" w:hAnsi="仿宋_GB2312" w:eastAsia="仿宋_GB2312" w:cs="仿宋_GB2312"/>
          <w:szCs w:val="32"/>
        </w:rPr>
        <w:t>“熔断”</w:t>
      </w:r>
      <w:r>
        <w:rPr>
          <w:rFonts w:eastAsia="仿宋_GB2312"/>
          <w:szCs w:val="32"/>
        </w:rPr>
        <w:t>机制、赛事活动组织方案等材料；</w:t>
      </w:r>
    </w:p>
    <w:p w14:paraId="2CFF6286">
      <w:pPr>
        <w:pStyle w:val="2"/>
        <w:ind w:firstLine="624" w:firstLineChars="200"/>
        <w:rPr>
          <w:rFonts w:eastAsia="仿宋_GB2312"/>
          <w:szCs w:val="32"/>
        </w:rPr>
      </w:pPr>
      <w:r>
        <w:rPr>
          <w:rFonts w:eastAsia="仿宋_GB2312"/>
          <w:szCs w:val="32"/>
        </w:rPr>
        <w:t>（六）法律、法规、规章规定的其他材料。</w:t>
      </w:r>
    </w:p>
    <w:p w14:paraId="039CD936">
      <w:pPr>
        <w:pStyle w:val="2"/>
        <w:ind w:firstLine="624" w:firstLineChars="200"/>
        <w:rPr>
          <w:rFonts w:eastAsia="仿宋_GB2312"/>
          <w:szCs w:val="32"/>
        </w:rPr>
      </w:pPr>
      <w:r>
        <w:rPr>
          <w:rFonts w:hint="eastAsia" w:ascii="黑体" w:hAnsi="黑体" w:eastAsia="黑体" w:cs="黑体"/>
          <w:szCs w:val="32"/>
        </w:rPr>
        <w:t>第二十二条</w:t>
      </w:r>
      <w:r>
        <w:rPr>
          <w:rFonts w:eastAsia="仿宋_GB2312"/>
          <w:szCs w:val="32"/>
        </w:rPr>
        <w:t>　高危险性体育赛事活动行政许可办理流程：</w:t>
      </w:r>
    </w:p>
    <w:p w14:paraId="0CDCD791">
      <w:pPr>
        <w:pStyle w:val="2"/>
        <w:ind w:firstLine="624" w:firstLineChars="200"/>
        <w:rPr>
          <w:rFonts w:eastAsia="仿宋_GB2312"/>
          <w:szCs w:val="32"/>
        </w:rPr>
      </w:pPr>
      <w:r>
        <w:rPr>
          <w:rFonts w:eastAsia="仿宋_GB2312"/>
          <w:szCs w:val="32"/>
        </w:rPr>
        <w:t>（一）受理。区体育行政部门收到申请材料后，应当对申请材料进行审查，内容齐全的予以受理；内容不齐全的，应当当场或者在五日内一次性告知申请人需要补正的全部内容。</w:t>
      </w:r>
    </w:p>
    <w:p w14:paraId="26BE907B">
      <w:pPr>
        <w:pStyle w:val="2"/>
        <w:ind w:firstLine="624" w:firstLineChars="200"/>
        <w:rPr>
          <w:rFonts w:eastAsia="仿宋_GB2312"/>
          <w:szCs w:val="32"/>
        </w:rPr>
      </w:pPr>
      <w:r>
        <w:rPr>
          <w:rFonts w:eastAsia="仿宋_GB2312"/>
          <w:szCs w:val="32"/>
        </w:rPr>
        <w:t>（二）审查。区体育行政部门审核认定申请材料齐全、符合法定形式的，应当自受理申请之日起三十日内进行实地核查。区体育行政部门可指派两名及以上工作人员进行实地核查，也可委托专业检验机构或认证机构进行实地核查。委托实地核查的，区体育行政部门工作人员应当全程参与，委托费用由区体育行政部门承担。实地核查应当按照国家规定的条件和标准逐项审核，核查申请人提交材料所述内容是否真实。涉及器材、设施等场地布置环节具体事项，可结合赛事活动实际情况，采取较为灵活的核查方式，既要确保相应要求落实到位，又要有利于赛事活动的举办。</w:t>
      </w:r>
    </w:p>
    <w:p w14:paraId="15FEEDF8">
      <w:pPr>
        <w:pStyle w:val="2"/>
        <w:ind w:firstLine="624" w:firstLineChars="200"/>
        <w:rPr>
          <w:rFonts w:eastAsia="仿宋_GB2312"/>
          <w:szCs w:val="32"/>
        </w:rPr>
      </w:pPr>
      <w:r>
        <w:rPr>
          <w:rFonts w:eastAsia="仿宋_GB2312"/>
          <w:szCs w:val="32"/>
        </w:rPr>
        <w:t>（三）决定。实地核查后，区体育行政部门作出批准或者不予批准的决定。批准举办的，应当作出书面决定；不予批准的，应当书面通知申请人并说明理由，同时告知申请人享有依法申请行政复议或者提起行政诉讼的权利。</w:t>
      </w:r>
    </w:p>
    <w:p w14:paraId="3693465F">
      <w:pPr>
        <w:pStyle w:val="2"/>
        <w:ind w:firstLine="624" w:firstLineChars="200"/>
        <w:rPr>
          <w:rFonts w:eastAsia="仿宋_GB2312"/>
          <w:szCs w:val="32"/>
        </w:rPr>
      </w:pPr>
      <w:r>
        <w:rPr>
          <w:rFonts w:hint="eastAsia" w:ascii="黑体" w:hAnsi="黑体" w:eastAsia="黑体" w:cs="黑体"/>
          <w:szCs w:val="32"/>
        </w:rPr>
        <w:t>第二十三条</w:t>
      </w:r>
      <w:r>
        <w:rPr>
          <w:rFonts w:eastAsia="仿宋_GB2312"/>
          <w:szCs w:val="32"/>
        </w:rPr>
        <w:t>　批准举办高危险性体育赛事活动的书面决定应当包括下列内容：</w:t>
      </w:r>
    </w:p>
    <w:p w14:paraId="09B65DA1">
      <w:pPr>
        <w:pStyle w:val="2"/>
        <w:ind w:firstLine="624" w:firstLineChars="200"/>
        <w:rPr>
          <w:rFonts w:eastAsia="仿宋_GB2312"/>
          <w:szCs w:val="32"/>
        </w:rPr>
      </w:pPr>
      <w:r>
        <w:rPr>
          <w:rFonts w:eastAsia="仿宋_GB2312"/>
          <w:szCs w:val="32"/>
        </w:rPr>
        <w:t>（一）高危险性体育赛事活动主办方、承办方、协办方和负责人姓名；</w:t>
      </w:r>
    </w:p>
    <w:p w14:paraId="63DBCDF6">
      <w:pPr>
        <w:pStyle w:val="2"/>
        <w:ind w:firstLine="624" w:firstLineChars="200"/>
        <w:rPr>
          <w:rFonts w:eastAsia="仿宋_GB2312"/>
          <w:szCs w:val="32"/>
        </w:rPr>
      </w:pPr>
      <w:r>
        <w:rPr>
          <w:rFonts w:eastAsia="仿宋_GB2312"/>
          <w:szCs w:val="32"/>
        </w:rPr>
        <w:t>（二）高危险性体育赛事活动名称、时间、地点、规模、参赛条件等基本信息；</w:t>
      </w:r>
    </w:p>
    <w:p w14:paraId="55998D23">
      <w:pPr>
        <w:pStyle w:val="2"/>
        <w:ind w:firstLine="624" w:firstLineChars="200"/>
        <w:rPr>
          <w:rFonts w:eastAsia="仿宋_GB2312"/>
          <w:szCs w:val="32"/>
        </w:rPr>
      </w:pPr>
      <w:r>
        <w:rPr>
          <w:rFonts w:eastAsia="仿宋_GB2312"/>
          <w:szCs w:val="32"/>
        </w:rPr>
        <w:t>（三）实地核查情况；</w:t>
      </w:r>
    </w:p>
    <w:p w14:paraId="404CBF9F">
      <w:pPr>
        <w:pStyle w:val="2"/>
        <w:ind w:firstLine="624" w:firstLineChars="200"/>
        <w:rPr>
          <w:rFonts w:eastAsia="仿宋_GB2312"/>
          <w:szCs w:val="32"/>
        </w:rPr>
      </w:pPr>
      <w:r>
        <w:rPr>
          <w:rFonts w:eastAsia="仿宋_GB2312"/>
          <w:szCs w:val="32"/>
        </w:rPr>
        <w:t>（四）批准情况。</w:t>
      </w:r>
    </w:p>
    <w:p w14:paraId="3E1EFC2F">
      <w:pPr>
        <w:pStyle w:val="2"/>
        <w:ind w:firstLine="624" w:firstLineChars="200"/>
        <w:rPr>
          <w:rFonts w:eastAsia="仿宋_GB2312"/>
          <w:szCs w:val="32"/>
        </w:rPr>
      </w:pPr>
      <w:r>
        <w:rPr>
          <w:rFonts w:hint="eastAsia" w:ascii="黑体" w:hAnsi="黑体" w:eastAsia="黑体" w:cs="黑体"/>
          <w:szCs w:val="32"/>
        </w:rPr>
        <w:t>第二十四条</w:t>
      </w:r>
      <w:r>
        <w:rPr>
          <w:rFonts w:eastAsia="仿宋_GB2312"/>
          <w:szCs w:val="32"/>
        </w:rPr>
        <w:t>　因特殊原因需要变更申请材料或取消举办高危险性体育赛事活动的，体育赛事活动组织者应当在赛事活动开始前向作出行政许可决定的区体育行政部门申请办理变更或取消手续。区体育行政部门应当进行审查，根据情况作出新的许可决定或者撤销原许可决定。</w:t>
      </w:r>
    </w:p>
    <w:p w14:paraId="4BF3ADF8">
      <w:pPr>
        <w:pStyle w:val="2"/>
        <w:ind w:firstLine="624" w:firstLineChars="200"/>
        <w:rPr>
          <w:rFonts w:eastAsia="仿宋_GB2312"/>
          <w:szCs w:val="32"/>
        </w:rPr>
      </w:pPr>
      <w:r>
        <w:rPr>
          <w:rFonts w:hint="eastAsia" w:ascii="黑体" w:hAnsi="黑体" w:eastAsia="黑体" w:cs="黑体"/>
          <w:szCs w:val="32"/>
        </w:rPr>
        <w:t>第二十五条</w:t>
      </w:r>
      <w:r>
        <w:rPr>
          <w:rFonts w:eastAsia="仿宋_GB2312"/>
          <w:szCs w:val="32"/>
        </w:rPr>
        <w:t>　区体育行政部门应当及时向社会公布高危险性体育赛事活动行政许可情况，并定期向市体育行政部门报送实施许可信息情况。</w:t>
      </w:r>
    </w:p>
    <w:p w14:paraId="6772AFE6">
      <w:pPr>
        <w:pStyle w:val="2"/>
        <w:ind w:firstLine="624" w:firstLineChars="200"/>
        <w:rPr>
          <w:rFonts w:eastAsia="仿宋_GB2312"/>
          <w:szCs w:val="32"/>
        </w:rPr>
      </w:pPr>
    </w:p>
    <w:p w14:paraId="7E4B7C75">
      <w:pPr>
        <w:pStyle w:val="2"/>
        <w:jc w:val="center"/>
        <w:rPr>
          <w:rFonts w:ascii="黑体" w:hAnsi="黑体" w:eastAsia="黑体" w:cs="黑体"/>
          <w:szCs w:val="32"/>
        </w:rPr>
      </w:pPr>
      <w:r>
        <w:rPr>
          <w:rFonts w:ascii="黑体" w:hAnsi="黑体" w:eastAsia="黑体" w:cs="黑体"/>
          <w:szCs w:val="32"/>
        </w:rPr>
        <w:t>第五章　高危险性体育赛事活动监管</w:t>
      </w:r>
    </w:p>
    <w:p w14:paraId="11B0FF01">
      <w:pPr>
        <w:pStyle w:val="2"/>
        <w:ind w:firstLine="624" w:firstLineChars="200"/>
        <w:rPr>
          <w:rFonts w:eastAsia="仿宋_GB2312"/>
          <w:szCs w:val="32"/>
        </w:rPr>
      </w:pPr>
    </w:p>
    <w:p w14:paraId="7F90F075">
      <w:pPr>
        <w:pStyle w:val="2"/>
        <w:ind w:firstLine="624" w:firstLineChars="200"/>
        <w:rPr>
          <w:rFonts w:eastAsia="仿宋_GB2312"/>
          <w:szCs w:val="32"/>
        </w:rPr>
      </w:pPr>
      <w:r>
        <w:rPr>
          <w:rFonts w:hint="eastAsia" w:ascii="黑体" w:hAnsi="黑体" w:eastAsia="黑体" w:cs="黑体"/>
          <w:szCs w:val="32"/>
        </w:rPr>
        <w:t>第二十六条</w:t>
      </w:r>
      <w:r>
        <w:rPr>
          <w:rFonts w:eastAsia="仿宋_GB2312"/>
          <w:szCs w:val="32"/>
        </w:rPr>
        <w:t>　市和区体育行政部门应当建立健全高危险性体育赛事活动监管工作机制，承担重点安全监管责任，全面掌握本行政区域高危险性体育赛事活动筹办的动态信息。</w:t>
      </w:r>
    </w:p>
    <w:p w14:paraId="753E89E9">
      <w:pPr>
        <w:pStyle w:val="2"/>
        <w:ind w:firstLine="624" w:firstLineChars="200"/>
        <w:rPr>
          <w:rFonts w:eastAsia="仿宋_GB2312"/>
          <w:szCs w:val="32"/>
        </w:rPr>
      </w:pPr>
      <w:r>
        <w:rPr>
          <w:rFonts w:hint="eastAsia" w:ascii="黑体" w:hAnsi="黑体" w:eastAsia="黑体" w:cs="黑体"/>
          <w:szCs w:val="32"/>
        </w:rPr>
        <w:t>第二十七条</w:t>
      </w:r>
      <w:r>
        <w:rPr>
          <w:rFonts w:eastAsia="仿宋_GB2312"/>
          <w:szCs w:val="32"/>
        </w:rPr>
        <w:t>　市和区体育行政部门应当会同本级人民政府有关部门，按照各自职责范围加强高危险性体育赛事活动的日常监督检查，重点围绕赛事组织、安全管理、应急处置等方面开展可行性和完备性检查，发现安全隐患的，应当向体育赛事活动组织者提出整改建议，存在违法行为的，依法作出处理，并将监督检查情况和处理结果予以记录归档。</w:t>
      </w:r>
    </w:p>
    <w:p w14:paraId="39704E50">
      <w:pPr>
        <w:pStyle w:val="2"/>
        <w:ind w:firstLine="624" w:firstLineChars="200"/>
        <w:rPr>
          <w:rFonts w:eastAsia="仿宋_GB2312"/>
          <w:szCs w:val="32"/>
        </w:rPr>
      </w:pPr>
      <w:r>
        <w:rPr>
          <w:rFonts w:hint="eastAsia" w:ascii="黑体" w:hAnsi="黑体" w:eastAsia="黑体" w:cs="黑体"/>
          <w:szCs w:val="32"/>
        </w:rPr>
        <w:t>第二十八条</w:t>
      </w:r>
      <w:r>
        <w:rPr>
          <w:rFonts w:eastAsia="仿宋_GB2312"/>
          <w:szCs w:val="32"/>
        </w:rPr>
        <w:t>　市和区体育行政部门、相关单项体育协会应当根据职责或章程，加强对高危险性体育赛事活动组织者及相关人员的培训，提供业务指导和技术支持，切实提高相关主体对高危险性体育赛事活动的认识和组织水平，明晰相关责任，保护各方权益。</w:t>
      </w:r>
    </w:p>
    <w:p w14:paraId="7FB3C1F6">
      <w:pPr>
        <w:pStyle w:val="2"/>
        <w:ind w:firstLine="624" w:firstLineChars="200"/>
        <w:rPr>
          <w:rFonts w:eastAsia="仿宋_GB2312"/>
          <w:szCs w:val="32"/>
        </w:rPr>
      </w:pPr>
      <w:r>
        <w:rPr>
          <w:rFonts w:hint="eastAsia" w:ascii="黑体" w:hAnsi="黑体" w:eastAsia="黑体" w:cs="黑体"/>
          <w:szCs w:val="32"/>
        </w:rPr>
        <w:t>第二十九条</w:t>
      </w:r>
      <w:r>
        <w:rPr>
          <w:rFonts w:eastAsia="仿宋_GB2312"/>
          <w:szCs w:val="32"/>
        </w:rPr>
        <w:t>　区体育行政部门应当加强对高危险性体育赛事活动实施现场检查，检查核对专业技术人员相应资格或资质证明，查阅场地、器材和设施符合相关标准和要求的说明性材料，检查相关保障措施制定和落实情况，检查法律、法规及规章规定的其他事项。</w:t>
      </w:r>
    </w:p>
    <w:p w14:paraId="4CD71876">
      <w:pPr>
        <w:pStyle w:val="2"/>
        <w:ind w:firstLine="624" w:firstLineChars="200"/>
        <w:rPr>
          <w:rFonts w:eastAsia="仿宋_GB2312"/>
          <w:szCs w:val="32"/>
        </w:rPr>
      </w:pPr>
      <w:r>
        <w:rPr>
          <w:rFonts w:eastAsia="仿宋_GB2312"/>
          <w:szCs w:val="32"/>
        </w:rPr>
        <w:t>市体育行政部门应当加强对高危险性体育赛事活动抽查与规范指导。</w:t>
      </w:r>
    </w:p>
    <w:p w14:paraId="704D3FAB">
      <w:pPr>
        <w:pStyle w:val="2"/>
        <w:ind w:firstLine="624" w:firstLineChars="200"/>
        <w:rPr>
          <w:rFonts w:eastAsia="仿宋_GB2312"/>
          <w:szCs w:val="32"/>
        </w:rPr>
      </w:pPr>
    </w:p>
    <w:p w14:paraId="5EE130F8">
      <w:pPr>
        <w:pStyle w:val="2"/>
        <w:jc w:val="center"/>
        <w:rPr>
          <w:rFonts w:ascii="黑体" w:hAnsi="黑体" w:eastAsia="黑体" w:cs="黑体"/>
          <w:szCs w:val="32"/>
        </w:rPr>
      </w:pPr>
      <w:r>
        <w:rPr>
          <w:rFonts w:ascii="黑体" w:hAnsi="黑体" w:eastAsia="黑体" w:cs="黑体"/>
          <w:szCs w:val="32"/>
        </w:rPr>
        <w:t>第六章　法律责任</w:t>
      </w:r>
    </w:p>
    <w:p w14:paraId="0CDB6B2C">
      <w:pPr>
        <w:pStyle w:val="2"/>
        <w:ind w:firstLine="624" w:firstLineChars="200"/>
        <w:rPr>
          <w:rFonts w:eastAsia="仿宋_GB2312"/>
          <w:szCs w:val="32"/>
        </w:rPr>
      </w:pPr>
    </w:p>
    <w:p w14:paraId="6621E130">
      <w:pPr>
        <w:pStyle w:val="2"/>
        <w:ind w:firstLine="624" w:firstLineChars="200"/>
        <w:rPr>
          <w:rFonts w:eastAsia="仿宋_GB2312"/>
          <w:szCs w:val="32"/>
        </w:rPr>
      </w:pPr>
      <w:r>
        <w:rPr>
          <w:rFonts w:hint="eastAsia" w:ascii="黑体" w:hAnsi="黑体" w:eastAsia="黑体" w:cs="黑体"/>
          <w:szCs w:val="32"/>
        </w:rPr>
        <w:t>第三十条</w:t>
      </w:r>
      <w:r>
        <w:rPr>
          <w:rFonts w:eastAsia="仿宋_GB2312"/>
          <w:szCs w:val="32"/>
        </w:rPr>
        <w:t>　违反本办法规定的行为，法律、法规、规章已有规定的，从其规定。</w:t>
      </w:r>
    </w:p>
    <w:p w14:paraId="64AAF2FB">
      <w:pPr>
        <w:pStyle w:val="2"/>
        <w:ind w:firstLine="624" w:firstLineChars="200"/>
        <w:rPr>
          <w:rFonts w:eastAsia="仿宋_GB2312"/>
          <w:szCs w:val="32"/>
        </w:rPr>
      </w:pPr>
    </w:p>
    <w:p w14:paraId="3ED84DE3">
      <w:pPr>
        <w:pStyle w:val="2"/>
        <w:jc w:val="center"/>
        <w:rPr>
          <w:rFonts w:ascii="黑体" w:hAnsi="黑体" w:eastAsia="黑体" w:cs="黑体"/>
          <w:szCs w:val="32"/>
        </w:rPr>
      </w:pPr>
      <w:r>
        <w:rPr>
          <w:rFonts w:ascii="黑体" w:hAnsi="黑体" w:eastAsia="黑体" w:cs="黑体"/>
          <w:szCs w:val="32"/>
        </w:rPr>
        <w:t>第七章　附则</w:t>
      </w:r>
    </w:p>
    <w:p w14:paraId="2EF8FEC1">
      <w:pPr>
        <w:pStyle w:val="2"/>
        <w:ind w:firstLine="624" w:firstLineChars="200"/>
        <w:rPr>
          <w:rFonts w:eastAsia="仿宋_GB2312"/>
          <w:szCs w:val="32"/>
        </w:rPr>
      </w:pPr>
    </w:p>
    <w:p w14:paraId="28D69D47">
      <w:pPr>
        <w:pStyle w:val="2"/>
        <w:ind w:firstLine="624" w:firstLineChars="200"/>
        <w:rPr>
          <w:rFonts w:eastAsia="仿宋_GB2312"/>
          <w:szCs w:val="32"/>
        </w:rPr>
      </w:pPr>
      <w:r>
        <w:rPr>
          <w:rFonts w:hint="eastAsia" w:ascii="黑体" w:hAnsi="黑体" w:eastAsia="黑体" w:cs="黑体"/>
          <w:szCs w:val="32"/>
        </w:rPr>
        <w:t>第三十一条</w:t>
      </w:r>
      <w:r>
        <w:rPr>
          <w:rFonts w:eastAsia="仿宋_GB2312"/>
          <w:szCs w:val="32"/>
        </w:rPr>
        <w:t>　本办法所称高危险性体育赛事活动，是指列入国家体育总局会同有关部门制定的高危险性体育赛事活动目录的体育赛事活动。</w:t>
      </w:r>
    </w:p>
    <w:p w14:paraId="31355388">
      <w:pPr>
        <w:pStyle w:val="2"/>
        <w:ind w:firstLine="624" w:firstLineChars="200"/>
        <w:rPr>
          <w:rFonts w:eastAsia="仿宋_GB2312"/>
          <w:szCs w:val="32"/>
        </w:rPr>
      </w:pPr>
      <w:r>
        <w:rPr>
          <w:rFonts w:hint="eastAsia" w:ascii="黑体" w:hAnsi="黑体" w:eastAsia="黑体" w:cs="黑体"/>
          <w:szCs w:val="32"/>
        </w:rPr>
        <w:t>第三十二条</w:t>
      </w:r>
      <w:r>
        <w:rPr>
          <w:rFonts w:eastAsia="仿宋_GB2312"/>
          <w:szCs w:val="32"/>
        </w:rPr>
        <w:t>　本办法自2025年</w:t>
      </w:r>
      <w:r>
        <w:rPr>
          <w:rFonts w:hint="eastAsia" w:eastAsia="仿宋_GB2312"/>
          <w:szCs w:val="32"/>
        </w:rPr>
        <w:t>8</w:t>
      </w:r>
      <w:r>
        <w:rPr>
          <w:rFonts w:eastAsia="仿宋_GB2312"/>
          <w:szCs w:val="32"/>
        </w:rPr>
        <w:t>月</w:t>
      </w:r>
      <w:r>
        <w:rPr>
          <w:rFonts w:hint="eastAsia" w:eastAsia="仿宋_GB2312"/>
          <w:szCs w:val="32"/>
        </w:rPr>
        <w:t>27</w:t>
      </w:r>
      <w:r>
        <w:rPr>
          <w:rFonts w:eastAsia="仿宋_GB2312"/>
          <w:szCs w:val="32"/>
        </w:rPr>
        <w:t>日起施行，有效期五年。</w:t>
      </w:r>
    </w:p>
    <w:p w14:paraId="1357BC77">
      <w:pPr>
        <w:pStyle w:val="2"/>
        <w:rPr>
          <w:rFonts w:eastAsia="仿宋_GB2312"/>
          <w:szCs w:val="32"/>
        </w:rPr>
      </w:pPr>
    </w:p>
    <w:p w14:paraId="61826396">
      <w:pPr>
        <w:pStyle w:val="2"/>
        <w:rPr>
          <w:rFonts w:eastAsia="仿宋_GB2312"/>
          <w:szCs w:val="32"/>
        </w:rPr>
      </w:pPr>
    </w:p>
    <w:p w14:paraId="04FA282D">
      <w:pPr>
        <w:pStyle w:val="2"/>
        <w:rPr>
          <w:rFonts w:eastAsia="仿宋_GB2312"/>
          <w:szCs w:val="32"/>
        </w:rPr>
      </w:pPr>
    </w:p>
    <w:p w14:paraId="5A7DBE32">
      <w:pPr>
        <w:pStyle w:val="2"/>
        <w:ind w:left="914" w:hanging="917" w:hangingChars="294"/>
        <w:rPr>
          <w:rFonts w:eastAsia="仿宋_GB2312"/>
          <w:szCs w:val="32"/>
        </w:rPr>
      </w:pPr>
    </w:p>
    <w:p w14:paraId="62AF93A0">
      <w:pPr>
        <w:pStyle w:val="2"/>
        <w:rPr>
          <w:rFonts w:eastAsia="仿宋_GB2312"/>
          <w:szCs w:val="32"/>
        </w:rPr>
      </w:pPr>
    </w:p>
    <w:p w14:paraId="4463C1C5">
      <w:pPr>
        <w:pStyle w:val="2"/>
        <w:ind w:left="914" w:hanging="917" w:hangingChars="294"/>
        <w:rPr>
          <w:rFonts w:eastAsia="仿宋_GB2312"/>
          <w:szCs w:val="32"/>
        </w:rPr>
      </w:pPr>
    </w:p>
    <w:p w14:paraId="29D5A99B">
      <w:pPr>
        <w:pStyle w:val="2"/>
        <w:ind w:left="914" w:hanging="917" w:hangingChars="294"/>
        <w:rPr>
          <w:rFonts w:eastAsia="仿宋_GB2312"/>
          <w:szCs w:val="32"/>
        </w:rPr>
      </w:pPr>
    </w:p>
    <w:p w14:paraId="24F43F50">
      <w:pPr>
        <w:pStyle w:val="2"/>
        <w:ind w:left="914" w:hanging="917" w:hangingChars="294"/>
        <w:rPr>
          <w:rFonts w:eastAsia="仿宋_GB2312"/>
          <w:szCs w:val="32"/>
        </w:rPr>
      </w:pPr>
    </w:p>
    <w:p w14:paraId="5D9A33FF">
      <w:pPr>
        <w:pStyle w:val="2"/>
        <w:ind w:left="914" w:hanging="917" w:hangingChars="294"/>
        <w:rPr>
          <w:rFonts w:eastAsia="仿宋_GB2312"/>
          <w:szCs w:val="32"/>
        </w:rPr>
      </w:pPr>
    </w:p>
    <w:p w14:paraId="683253E3">
      <w:pPr>
        <w:pStyle w:val="2"/>
        <w:rPr>
          <w:sz w:val="10"/>
          <w:szCs w:val="10"/>
        </w:rPr>
      </w:pPr>
    </w:p>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7069">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14:paraId="39205CA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A105">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A308BCB">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C43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A5768"/>
    <w:multiLevelType w:val="singleLevel"/>
    <w:tmpl w:val="4A4A5768"/>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10BB"/>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C6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DF4D57"/>
    <w:rsid w:val="00E2093B"/>
    <w:rsid w:val="00E31F62"/>
    <w:rsid w:val="00E67E23"/>
    <w:rsid w:val="00E74110"/>
    <w:rsid w:val="00EA0D44"/>
    <w:rsid w:val="00EA77DD"/>
    <w:rsid w:val="00EB3529"/>
    <w:rsid w:val="00F13242"/>
    <w:rsid w:val="00F23CEA"/>
    <w:rsid w:val="00F35D3F"/>
    <w:rsid w:val="00F410DE"/>
    <w:rsid w:val="00F61E7C"/>
    <w:rsid w:val="00FB20E7"/>
    <w:rsid w:val="39922AB7"/>
    <w:rsid w:val="39FE5A1E"/>
    <w:rsid w:val="3F5E8E5A"/>
    <w:rsid w:val="5BBF560D"/>
    <w:rsid w:val="5DFF6F12"/>
    <w:rsid w:val="5F7F926A"/>
    <w:rsid w:val="657F6E78"/>
    <w:rsid w:val="66DA54A0"/>
    <w:rsid w:val="67B19DFB"/>
    <w:rsid w:val="706D2A7F"/>
    <w:rsid w:val="796405DC"/>
    <w:rsid w:val="7B7E5465"/>
    <w:rsid w:val="7EFDA99C"/>
    <w:rsid w:val="B9EAC4E9"/>
    <w:rsid w:val="BCDE2957"/>
    <w:rsid w:val="D77F6637"/>
    <w:rsid w:val="F3FE2F7B"/>
    <w:rsid w:val="F7ED8A62"/>
    <w:rsid w:val="FA7F3BD5"/>
    <w:rsid w:val="FFDD135C"/>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4904</Words>
  <Characters>4915</Characters>
  <Lines>36</Lines>
  <Paragraphs>10</Paragraphs>
  <TotalTime>7</TotalTime>
  <ScaleCrop>false</ScaleCrop>
  <LinksUpToDate>false</LinksUpToDate>
  <CharactersWithSpaces>4961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2020-01-13T15:58:00Z</dcterms:created>
  <dc:creator>jsj</dc:creator>
  <cp:lastModifiedBy> walawala</cp:lastModifiedBy>
  <cp:lastPrinted>2020-12-27T18:20:00Z</cp:lastPrinted>
  <dcterms:modified xsi:type="dcterms:W3CDTF">2025-09-04T02:12:06Z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FEB9B036B7B24E9DBF1D95D9EBEECE93_13</vt:lpwstr>
  </property>
  <property fmtid="{D5CDD505-2E9C-101B-9397-08002B2CF9AE}" pid="4" name="KSOTemplateDocerSaveRecord">
    <vt:lpwstr>eyJoZGlkIjoiYjhjNTZhNzkwMDFiY2RhY2M2ODRlZDYyOWRiOGZlYjEiLCJ1c2VySWQiOiIxOTQ5MzU3NTIifQ==</vt:lpwstr>
  </property>
</Properties>
</file>