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eastAsia="仿宋_GB2312"/>
          <w:szCs w:val="32"/>
        </w:rPr>
      </w:pP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天津市人民政府办公厅关于印发</w:t>
      </w: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天津市人民政府2025年度重大行政决策</w:t>
      </w: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事项目录的通知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3"/>
        <w:tabs>
          <w:tab w:val="left" w:pos="7920"/>
        </w:tabs>
        <w:ind w:firstLine="624" w:firstLineChars="200"/>
        <w:rPr>
          <w:rFonts w:eastAsia="仿宋_GB2312"/>
          <w:szCs w:val="32"/>
        </w:rPr>
      </w:pPr>
      <w:r>
        <w:rPr>
          <w:rFonts w:hint="eastAsia" w:eastAsia="仿宋_GB2312"/>
          <w:szCs w:val="32"/>
        </w:rPr>
        <w:t>为进一步规范重大行政决策行为，推进科学决策、民主决策、依法决策，根据《重大行政决策程序暂行条例》、《天津市重大行政决策程序规定》、《天津市重大行政决策事项目录管理办法》等有关规定，经市委、市政府同意，现将《天津市人民政府2025年度重大行政决策事项目录》印发给你们，并就有关工作通知如下：</w:t>
      </w:r>
    </w:p>
    <w:p>
      <w:pPr>
        <w:pStyle w:val="3"/>
        <w:tabs>
          <w:tab w:val="left" w:pos="7920"/>
        </w:tabs>
        <w:ind w:firstLine="624" w:firstLineChars="200"/>
        <w:rPr>
          <w:rFonts w:eastAsia="仿宋_GB2312"/>
          <w:szCs w:val="32"/>
        </w:rPr>
      </w:pPr>
      <w:r>
        <w:rPr>
          <w:rFonts w:hint="eastAsia" w:eastAsia="仿宋_GB2312"/>
          <w:szCs w:val="32"/>
        </w:rPr>
        <w:t>一、列入目录的重大行政决策事项，要依法履行公众参与、专家论证、风险评估、合法性审查和集体讨论决定等法定程序。承办单位在提请市政府常务会议集体讨论决定时，应报告履行重大行政决策程序情况。</w:t>
      </w:r>
    </w:p>
    <w:p>
      <w:pPr>
        <w:pStyle w:val="3"/>
        <w:tabs>
          <w:tab w:val="left" w:pos="7920"/>
        </w:tabs>
        <w:ind w:firstLine="624" w:firstLineChars="200"/>
        <w:rPr>
          <w:rFonts w:eastAsia="仿宋_GB2312"/>
          <w:szCs w:val="32"/>
        </w:rPr>
      </w:pPr>
      <w:r>
        <w:rPr>
          <w:rFonts w:hint="eastAsia" w:eastAsia="仿宋_GB2312"/>
          <w:szCs w:val="32"/>
        </w:rPr>
        <w:t>二、根据市委、市政府年度重点工作任务的实际情况，确需对目录进行调整的，决策事项承办单位要认真研究论证，提出调整建议，按程序报经批准后调整。</w:t>
      </w:r>
    </w:p>
    <w:p>
      <w:pPr>
        <w:pStyle w:val="3"/>
        <w:tabs>
          <w:tab w:val="left" w:pos="7920"/>
        </w:tabs>
        <w:ind w:firstLine="624" w:firstLineChars="200"/>
        <w:rPr>
          <w:rFonts w:eastAsia="仿宋_GB2312"/>
          <w:szCs w:val="32"/>
        </w:rPr>
      </w:pPr>
      <w:r>
        <w:rPr>
          <w:rFonts w:hint="eastAsia" w:eastAsia="仿宋_GB2312"/>
          <w:szCs w:val="32"/>
        </w:rPr>
        <w:t>三、承办单位要认真组织实施，落实责任分工，把握时间节点，确保按时完成。承办单位应当在重大行政决策作出后30日内向市政府办公厅移交相关材料。</w:t>
      </w:r>
    </w:p>
    <w:p>
      <w:pPr>
        <w:pStyle w:val="2"/>
        <w:rPr>
          <w:rFonts w:eastAsia="仿宋_GB2312"/>
          <w:szCs w:val="32"/>
        </w:rPr>
      </w:pPr>
    </w:p>
    <w:p>
      <w:pPr>
        <w:pStyle w:val="2"/>
        <w:wordWrap w:val="0"/>
        <w:jc w:val="right"/>
        <w:rPr>
          <w:rFonts w:hint="default" w:eastAsia="仿宋_GB2312"/>
          <w:szCs w:val="32"/>
          <w:lang w:val="en-US" w:eastAsia="zh-CN"/>
        </w:rPr>
      </w:pPr>
      <w:r>
        <w:rPr>
          <w:rFonts w:hint="eastAsia" w:eastAsia="仿宋_GB2312"/>
          <w:szCs w:val="32"/>
        </w:rPr>
        <w:t>天津市人民政府办公厅</w:t>
      </w:r>
      <w:r>
        <w:rPr>
          <w:rFonts w:hint="eastAsia" w:eastAsia="仿宋_GB2312"/>
          <w:szCs w:val="32"/>
          <w:lang w:val="en-US" w:eastAsia="zh-CN"/>
        </w:rPr>
        <w:t xml:space="preserve">      </w:t>
      </w:r>
    </w:p>
    <w:p>
      <w:pPr>
        <w:pStyle w:val="2"/>
        <w:wordWrap w:val="0"/>
        <w:jc w:val="right"/>
        <w:rPr>
          <w:rFonts w:eastAsia="仿宋_GB2312"/>
          <w:szCs w:val="32"/>
        </w:rPr>
      </w:pPr>
      <w:r>
        <w:rPr>
          <w:rFonts w:hint="eastAsia" w:eastAsia="仿宋_GB2312"/>
          <w:szCs w:val="32"/>
        </w:rPr>
        <w:t xml:space="preserve">2025年3月27日        </w:t>
      </w:r>
    </w:p>
    <w:p>
      <w:pPr>
        <w:pStyle w:val="2"/>
        <w:rPr>
          <w:rFonts w:eastAsia="仿宋_GB2312"/>
          <w:szCs w:val="32"/>
        </w:rPr>
      </w:pPr>
      <w:r>
        <w:rPr>
          <w:rFonts w:hint="eastAsia" w:eastAsia="仿宋_GB2312"/>
          <w:szCs w:val="32"/>
        </w:rPr>
        <w:t xml:space="preserve">    （此件主动公开）</w:t>
      </w:r>
    </w:p>
    <w:p>
      <w:pPr>
        <w:pStyle w:val="2"/>
        <w:rPr>
          <w:rFonts w:eastAsia="仿宋_GB2312"/>
          <w:szCs w:val="32"/>
        </w:rPr>
      </w:pPr>
    </w:p>
    <w:p>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pPr>
        <w:pStyle w:val="2"/>
        <w:rPr>
          <w:rFonts w:eastAsia="仿宋_GB2312"/>
          <w:szCs w:val="32"/>
          <w:u w:val="none"/>
        </w:rPr>
      </w:pPr>
    </w:p>
    <w:p>
      <w:pPr>
        <w:pStyle w:val="2"/>
        <w:snapToGrid w:val="0"/>
        <w:ind w:left="1267" w:hanging="1270" w:hangingChars="294"/>
        <w:jc w:val="center"/>
        <w:rPr>
          <w:rStyle w:val="12"/>
          <w:rFonts w:hint="eastAsia" w:ascii="方正小标宋简体" w:hAnsi="方正小标宋_GBK" w:eastAsia="方正小标宋简体" w:cs="方正小标宋_GBK"/>
          <w:color w:val="auto"/>
          <w:kern w:val="2"/>
          <w:sz w:val="44"/>
          <w:szCs w:val="44"/>
          <w:u w:val="none"/>
          <w:lang w:val="en" w:eastAsia="zh-CN" w:bidi="ar-SA"/>
        </w:rPr>
      </w:pPr>
      <w:r>
        <w:rPr>
          <w:rStyle w:val="12"/>
          <w:rFonts w:hint="eastAsia" w:ascii="方正小标宋简体" w:hAnsi="方正小标宋_GBK" w:eastAsia="方正小标宋简体" w:cs="方正小标宋_GBK"/>
          <w:color w:val="auto"/>
          <w:kern w:val="2"/>
          <w:sz w:val="44"/>
          <w:szCs w:val="44"/>
          <w:u w:val="none"/>
          <w:lang w:val="en" w:eastAsia="zh-CN" w:bidi="ar-SA"/>
        </w:rPr>
        <w:t>天津市人民政府2025年度</w:t>
      </w:r>
    </w:p>
    <w:p>
      <w:pPr>
        <w:pStyle w:val="2"/>
        <w:snapToGrid w:val="0"/>
        <w:ind w:left="1267" w:hanging="1270" w:hangingChars="294"/>
        <w:jc w:val="center"/>
        <w:rPr>
          <w:rStyle w:val="12"/>
          <w:rFonts w:hint="eastAsia" w:ascii="方正小标宋简体" w:hAnsi="方正小标宋_GBK" w:eastAsia="方正小标宋简体" w:cs="方正小标宋_GBK"/>
          <w:color w:val="auto"/>
          <w:kern w:val="2"/>
          <w:sz w:val="44"/>
          <w:szCs w:val="44"/>
          <w:u w:val="none"/>
          <w:lang w:val="en" w:eastAsia="zh-CN" w:bidi="ar-SA"/>
        </w:rPr>
      </w:pPr>
      <w:r>
        <w:rPr>
          <w:rStyle w:val="12"/>
          <w:rFonts w:hint="eastAsia" w:ascii="方正小标宋简体" w:hAnsi="方正小标宋_GBK" w:eastAsia="方正小标宋简体" w:cs="方正小标宋_GBK"/>
          <w:color w:val="auto"/>
          <w:kern w:val="2"/>
          <w:sz w:val="44"/>
          <w:szCs w:val="44"/>
          <w:u w:val="none"/>
          <w:lang w:val="en" w:eastAsia="zh-CN" w:bidi="ar-SA"/>
        </w:rPr>
        <w:t>重大行政决策事项目录</w:t>
      </w:r>
    </w:p>
    <w:p>
      <w:pPr>
        <w:pStyle w:val="2"/>
        <w:ind w:left="914" w:hanging="917" w:hangingChars="294"/>
        <w:rPr>
          <w:rFonts w:eastAsia="仿宋_GB231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199"/>
        <w:gridCol w:w="227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811" w:type="dxa"/>
            <w:shd w:val="clear" w:color="auto" w:fill="auto"/>
            <w:vAlign w:val="center"/>
          </w:tcPr>
          <w:p>
            <w:pPr>
              <w:snapToGrid w:val="0"/>
              <w:spacing w:line="0" w:lineRule="atLeast"/>
              <w:jc w:val="center"/>
              <w:rPr>
                <w:rFonts w:eastAsia="黑体"/>
                <w:sz w:val="28"/>
                <w:szCs w:val="28"/>
              </w:rPr>
            </w:pPr>
            <w:r>
              <w:rPr>
                <w:rFonts w:eastAsia="黑体"/>
                <w:sz w:val="28"/>
                <w:szCs w:val="28"/>
              </w:rPr>
              <w:t>序号</w:t>
            </w:r>
          </w:p>
        </w:tc>
        <w:tc>
          <w:tcPr>
            <w:tcW w:w="4199" w:type="dxa"/>
            <w:shd w:val="clear" w:color="auto" w:fill="auto"/>
            <w:vAlign w:val="center"/>
          </w:tcPr>
          <w:p>
            <w:pPr>
              <w:snapToGrid w:val="0"/>
              <w:spacing w:line="0" w:lineRule="atLeast"/>
              <w:jc w:val="center"/>
              <w:rPr>
                <w:rFonts w:eastAsia="黑体" w:cs="黑体"/>
                <w:sz w:val="28"/>
                <w:szCs w:val="28"/>
              </w:rPr>
            </w:pPr>
            <w:r>
              <w:rPr>
                <w:rFonts w:hint="eastAsia" w:eastAsia="黑体" w:cs="黑体"/>
                <w:sz w:val="28"/>
                <w:szCs w:val="28"/>
              </w:rPr>
              <w:t>决策事项名称</w:t>
            </w:r>
          </w:p>
        </w:tc>
        <w:tc>
          <w:tcPr>
            <w:tcW w:w="2272" w:type="dxa"/>
            <w:shd w:val="clear" w:color="auto" w:fill="auto"/>
            <w:vAlign w:val="center"/>
          </w:tcPr>
          <w:p>
            <w:pPr>
              <w:snapToGrid w:val="0"/>
              <w:spacing w:line="0" w:lineRule="atLeast"/>
              <w:jc w:val="center"/>
              <w:rPr>
                <w:rFonts w:eastAsia="黑体" w:cs="黑体"/>
                <w:sz w:val="28"/>
                <w:szCs w:val="28"/>
              </w:rPr>
            </w:pPr>
            <w:r>
              <w:rPr>
                <w:rFonts w:hint="eastAsia" w:eastAsia="黑体" w:cs="黑体"/>
                <w:sz w:val="28"/>
                <w:szCs w:val="28"/>
              </w:rPr>
              <w:t>承办单位</w:t>
            </w:r>
          </w:p>
        </w:tc>
        <w:tc>
          <w:tcPr>
            <w:tcW w:w="1547" w:type="dxa"/>
            <w:shd w:val="clear" w:color="auto" w:fill="auto"/>
            <w:vAlign w:val="center"/>
          </w:tcPr>
          <w:p>
            <w:pPr>
              <w:snapToGrid w:val="0"/>
              <w:spacing w:line="0" w:lineRule="atLeast"/>
              <w:jc w:val="center"/>
              <w:rPr>
                <w:rFonts w:eastAsia="黑体" w:cs="黑体"/>
                <w:sz w:val="28"/>
                <w:szCs w:val="28"/>
              </w:rPr>
            </w:pPr>
            <w:r>
              <w:rPr>
                <w:rFonts w:hint="eastAsia" w:eastAsia="黑体" w:cs="黑体"/>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11" w:type="dxa"/>
            <w:shd w:val="clear" w:color="auto" w:fill="auto"/>
            <w:vAlign w:val="center"/>
          </w:tcPr>
          <w:p>
            <w:pPr>
              <w:pStyle w:val="2"/>
              <w:snapToGrid w:val="0"/>
              <w:spacing w:line="0" w:lineRule="atLeast"/>
              <w:jc w:val="center"/>
              <w:rPr>
                <w:rFonts w:eastAsia="仿宋_GB2312"/>
                <w:sz w:val="28"/>
                <w:szCs w:val="28"/>
              </w:rPr>
            </w:pPr>
            <w:r>
              <w:rPr>
                <w:rFonts w:eastAsia="仿宋_GB2312"/>
                <w:sz w:val="28"/>
                <w:szCs w:val="28"/>
              </w:rPr>
              <w:t>1</w:t>
            </w:r>
          </w:p>
        </w:tc>
        <w:tc>
          <w:tcPr>
            <w:tcW w:w="4199" w:type="dxa"/>
            <w:shd w:val="clear" w:color="auto" w:fill="auto"/>
            <w:vAlign w:val="center"/>
          </w:tcPr>
          <w:p>
            <w:pPr>
              <w:pStyle w:val="2"/>
              <w:snapToGrid w:val="0"/>
              <w:spacing w:line="0" w:lineRule="atLeast"/>
              <w:rPr>
                <w:rFonts w:eastAsia="仿宋_GB2312" w:cs="仿宋_GB2312"/>
                <w:sz w:val="28"/>
                <w:szCs w:val="28"/>
              </w:rPr>
            </w:pPr>
            <w:r>
              <w:rPr>
                <w:rFonts w:hint="eastAsia" w:eastAsia="仿宋_GB2312" w:cs="仿宋_GB2312"/>
                <w:sz w:val="28"/>
                <w:szCs w:val="28"/>
              </w:rPr>
              <w:t>制定关于支持武清京津产业新城高质量发展的政策措施</w:t>
            </w:r>
          </w:p>
        </w:tc>
        <w:tc>
          <w:tcPr>
            <w:tcW w:w="2272" w:type="dxa"/>
            <w:shd w:val="clear" w:color="auto" w:fill="auto"/>
            <w:vAlign w:val="center"/>
          </w:tcPr>
          <w:p>
            <w:pPr>
              <w:pStyle w:val="2"/>
              <w:snapToGrid w:val="0"/>
              <w:spacing w:line="0" w:lineRule="atLeast"/>
              <w:jc w:val="center"/>
              <w:rPr>
                <w:rFonts w:eastAsia="仿宋_GB2312" w:cs="仿宋_GB2312"/>
                <w:sz w:val="28"/>
                <w:szCs w:val="28"/>
                <w:lang w:val="en"/>
              </w:rPr>
            </w:pPr>
            <w:r>
              <w:rPr>
                <w:rFonts w:hint="eastAsia" w:eastAsia="仿宋_GB2312" w:cs="仿宋_GB2312"/>
                <w:sz w:val="28"/>
                <w:szCs w:val="28"/>
              </w:rPr>
              <w:t>市发展</w:t>
            </w:r>
            <w:r>
              <w:rPr>
                <w:rFonts w:eastAsia="仿宋_GB2312" w:cs="仿宋_GB2312"/>
                <w:sz w:val="28"/>
                <w:szCs w:val="28"/>
                <w:lang w:val="en"/>
              </w:rPr>
              <w:t>改革委</w:t>
            </w:r>
          </w:p>
          <w:p>
            <w:pPr>
              <w:pStyle w:val="2"/>
              <w:snapToGrid w:val="0"/>
              <w:spacing w:line="0" w:lineRule="atLeast"/>
              <w:jc w:val="center"/>
              <w:rPr>
                <w:rFonts w:eastAsia="仿宋_GB2312" w:cs="仿宋_GB2312"/>
                <w:sz w:val="28"/>
                <w:szCs w:val="28"/>
              </w:rPr>
            </w:pPr>
            <w:r>
              <w:rPr>
                <w:rFonts w:hint="eastAsia" w:eastAsia="仿宋_GB2312" w:cs="仿宋_GB2312"/>
                <w:sz w:val="28"/>
                <w:szCs w:val="28"/>
              </w:rPr>
              <w:t>武清区人民政府</w:t>
            </w:r>
          </w:p>
        </w:tc>
        <w:tc>
          <w:tcPr>
            <w:tcW w:w="1547" w:type="dxa"/>
            <w:shd w:val="clear" w:color="auto" w:fill="auto"/>
            <w:vAlign w:val="center"/>
          </w:tcPr>
          <w:p>
            <w:pPr>
              <w:pStyle w:val="2"/>
              <w:snapToGrid w:val="0"/>
              <w:spacing w:line="0" w:lineRule="atLeast"/>
              <w:jc w:val="center"/>
              <w:rPr>
                <w:rFonts w:eastAsia="仿宋_GB2312" w:cs="仿宋_GB2312"/>
                <w:sz w:val="28"/>
                <w:szCs w:val="28"/>
              </w:rPr>
            </w:pPr>
            <w:r>
              <w:rPr>
                <w:rFonts w:hint="eastAsia" w:eastAsia="仿宋_GB2312"/>
                <w:sz w:val="28"/>
                <w:szCs w:val="28"/>
              </w:rPr>
              <w:t>3</w:t>
            </w:r>
            <w:r>
              <w:rPr>
                <w:rFonts w:hint="eastAsia" w:eastAsia="仿宋_GB2312" w:cs="仿宋_GB231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11" w:type="dxa"/>
            <w:shd w:val="clear" w:color="auto" w:fill="auto"/>
            <w:vAlign w:val="center"/>
          </w:tcPr>
          <w:p>
            <w:pPr>
              <w:pStyle w:val="2"/>
              <w:snapToGrid w:val="0"/>
              <w:spacing w:line="0" w:lineRule="atLeast"/>
              <w:jc w:val="center"/>
              <w:rPr>
                <w:rFonts w:eastAsia="仿宋_GB2312"/>
                <w:sz w:val="28"/>
                <w:szCs w:val="28"/>
              </w:rPr>
            </w:pPr>
            <w:r>
              <w:rPr>
                <w:rFonts w:eastAsia="仿宋_GB2312"/>
                <w:sz w:val="28"/>
                <w:szCs w:val="28"/>
              </w:rPr>
              <w:t>2</w:t>
            </w:r>
          </w:p>
        </w:tc>
        <w:tc>
          <w:tcPr>
            <w:tcW w:w="4199" w:type="dxa"/>
            <w:shd w:val="clear" w:color="auto" w:fill="auto"/>
            <w:vAlign w:val="center"/>
          </w:tcPr>
          <w:p>
            <w:pPr>
              <w:pStyle w:val="2"/>
              <w:snapToGrid w:val="0"/>
              <w:spacing w:line="0" w:lineRule="atLeast"/>
              <w:rPr>
                <w:rFonts w:eastAsia="仿宋_GB2312" w:cs="仿宋_GB2312"/>
                <w:sz w:val="28"/>
                <w:szCs w:val="28"/>
              </w:rPr>
            </w:pPr>
            <w:r>
              <w:rPr>
                <w:rFonts w:hint="eastAsia" w:eastAsia="仿宋_GB2312" w:cs="仿宋_GB2312"/>
                <w:sz w:val="28"/>
                <w:szCs w:val="28"/>
              </w:rPr>
              <w:t>制定天津市赛事安全监管和高危赛事监管办法</w:t>
            </w:r>
          </w:p>
        </w:tc>
        <w:tc>
          <w:tcPr>
            <w:tcW w:w="2272" w:type="dxa"/>
            <w:shd w:val="clear" w:color="auto" w:fill="auto"/>
            <w:vAlign w:val="center"/>
          </w:tcPr>
          <w:p>
            <w:pPr>
              <w:pStyle w:val="2"/>
              <w:snapToGrid w:val="0"/>
              <w:spacing w:line="0" w:lineRule="atLeast"/>
              <w:jc w:val="center"/>
              <w:rPr>
                <w:rFonts w:eastAsia="仿宋_GB2312" w:cs="仿宋_GB2312"/>
                <w:sz w:val="28"/>
                <w:szCs w:val="28"/>
              </w:rPr>
            </w:pPr>
            <w:r>
              <w:rPr>
                <w:rFonts w:hint="eastAsia" w:eastAsia="仿宋_GB2312" w:cs="仿宋_GB2312"/>
                <w:sz w:val="28"/>
                <w:szCs w:val="28"/>
              </w:rPr>
              <w:t>市体育局</w:t>
            </w:r>
          </w:p>
        </w:tc>
        <w:tc>
          <w:tcPr>
            <w:tcW w:w="1547" w:type="dxa"/>
            <w:shd w:val="clear" w:color="auto" w:fill="auto"/>
            <w:vAlign w:val="center"/>
          </w:tcPr>
          <w:p>
            <w:pPr>
              <w:pStyle w:val="2"/>
              <w:snapToGrid w:val="0"/>
              <w:spacing w:line="0" w:lineRule="atLeast"/>
              <w:jc w:val="center"/>
              <w:rPr>
                <w:rFonts w:eastAsia="仿宋_GB2312"/>
                <w:sz w:val="28"/>
                <w:szCs w:val="28"/>
              </w:rPr>
            </w:pPr>
            <w:r>
              <w:rPr>
                <w:rFonts w:hint="eastAsia" w:eastAsia="仿宋_GB2312"/>
                <w:sz w:val="28"/>
                <w:szCs w:val="28"/>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11" w:type="dxa"/>
            <w:shd w:val="clear" w:color="auto" w:fill="auto"/>
            <w:vAlign w:val="center"/>
          </w:tcPr>
          <w:p>
            <w:pPr>
              <w:pStyle w:val="2"/>
              <w:snapToGrid w:val="0"/>
              <w:spacing w:line="0" w:lineRule="atLeast"/>
              <w:jc w:val="center"/>
              <w:rPr>
                <w:rFonts w:eastAsia="仿宋_GB2312"/>
                <w:sz w:val="28"/>
                <w:szCs w:val="28"/>
                <w:lang w:val="en"/>
              </w:rPr>
            </w:pPr>
            <w:r>
              <w:rPr>
                <w:rFonts w:eastAsia="仿宋_GB2312"/>
                <w:sz w:val="28"/>
                <w:szCs w:val="28"/>
                <w:lang w:val="en"/>
              </w:rPr>
              <w:t>3</w:t>
            </w:r>
          </w:p>
        </w:tc>
        <w:tc>
          <w:tcPr>
            <w:tcW w:w="4199" w:type="dxa"/>
            <w:shd w:val="clear" w:color="auto" w:fill="auto"/>
            <w:vAlign w:val="center"/>
          </w:tcPr>
          <w:p>
            <w:pPr>
              <w:pStyle w:val="2"/>
              <w:snapToGrid w:val="0"/>
              <w:spacing w:line="0" w:lineRule="atLeast"/>
              <w:rPr>
                <w:rFonts w:eastAsia="仿宋_GB2312" w:cs="仿宋_GB2312"/>
                <w:sz w:val="28"/>
                <w:szCs w:val="28"/>
              </w:rPr>
            </w:pPr>
            <w:r>
              <w:rPr>
                <w:rFonts w:hint="eastAsia" w:eastAsia="仿宋_GB2312" w:cs="仿宋_GB2312"/>
                <w:sz w:val="28"/>
                <w:szCs w:val="28"/>
              </w:rPr>
              <w:t>制定关于划定禁止使用高排放非道路移动机械区域的通告</w:t>
            </w:r>
          </w:p>
        </w:tc>
        <w:tc>
          <w:tcPr>
            <w:tcW w:w="2272" w:type="dxa"/>
            <w:shd w:val="clear" w:color="auto" w:fill="auto"/>
            <w:vAlign w:val="center"/>
          </w:tcPr>
          <w:p>
            <w:pPr>
              <w:pStyle w:val="2"/>
              <w:snapToGrid w:val="0"/>
              <w:spacing w:line="0" w:lineRule="atLeast"/>
              <w:jc w:val="center"/>
              <w:rPr>
                <w:rFonts w:eastAsia="仿宋_GB2312" w:cs="仿宋_GB2312"/>
                <w:sz w:val="28"/>
                <w:szCs w:val="28"/>
              </w:rPr>
            </w:pPr>
            <w:r>
              <w:rPr>
                <w:rFonts w:hint="eastAsia" w:eastAsia="仿宋_GB2312" w:cs="仿宋_GB2312"/>
                <w:sz w:val="28"/>
                <w:szCs w:val="28"/>
              </w:rPr>
              <w:t>市生态环境局</w:t>
            </w:r>
          </w:p>
        </w:tc>
        <w:tc>
          <w:tcPr>
            <w:tcW w:w="1547" w:type="dxa"/>
            <w:shd w:val="clear" w:color="auto" w:fill="auto"/>
            <w:vAlign w:val="center"/>
          </w:tcPr>
          <w:p>
            <w:pPr>
              <w:pStyle w:val="2"/>
              <w:snapToGrid w:val="0"/>
              <w:spacing w:line="0" w:lineRule="atLeast"/>
              <w:jc w:val="center"/>
              <w:rPr>
                <w:rFonts w:eastAsia="仿宋_GB2312"/>
                <w:sz w:val="28"/>
                <w:szCs w:val="28"/>
              </w:rPr>
            </w:pPr>
            <w:r>
              <w:rPr>
                <w:rFonts w:hint="eastAsia" w:eastAsia="仿宋_GB2312"/>
                <w:sz w:val="28"/>
                <w:szCs w:val="28"/>
              </w:rPr>
              <w:t>11</w:t>
            </w:r>
            <w:r>
              <w:rPr>
                <w:rFonts w:hint="eastAsia" w:eastAsia="仿宋_GB2312" w:cs="仿宋_GB2312"/>
                <w:sz w:val="28"/>
                <w:szCs w:val="28"/>
              </w:rPr>
              <w:t>月</w:t>
            </w:r>
          </w:p>
        </w:tc>
      </w:tr>
    </w:tbl>
    <w:p>
      <w:pPr>
        <w:pStyle w:val="2"/>
        <w:ind w:left="914" w:hanging="917" w:hangingChars="294"/>
        <w:rPr>
          <w:rFonts w:eastAsia="仿宋_GB2312"/>
          <w:szCs w:val="32"/>
        </w:rPr>
      </w:pPr>
    </w:p>
    <w:p>
      <w:pPr>
        <w:pStyle w:val="2"/>
        <w:ind w:left="914" w:hanging="917" w:hangingChars="294"/>
        <w:rPr>
          <w:rFonts w:eastAsia="仿宋_GB2312"/>
          <w:szCs w:val="32"/>
        </w:rPr>
      </w:pPr>
      <w:bookmarkStart w:id="0" w:name="_GoBack"/>
      <w:bookmarkEnd w:id="0"/>
    </w:p>
    <w:p>
      <w:pPr>
        <w:pStyle w:val="2"/>
        <w:rPr>
          <w:rFonts w:eastAsia="仿宋_GB2312"/>
          <w:szCs w:val="32"/>
        </w:rPr>
      </w:pPr>
    </w:p>
    <w:p>
      <w:pPr>
        <w:pStyle w:val="2"/>
        <w:ind w:left="0" w:firstLine="0" w:firstLineChars="0"/>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4</w:t>
    </w:r>
    <w:r>
      <w:rPr>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40B4A"/>
    <w:rsid w:val="002B4F82"/>
    <w:rsid w:val="002C3E19"/>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8F24E7"/>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9F79B4C"/>
    <w:rsid w:val="2BAF217E"/>
    <w:rsid w:val="33DD50B0"/>
    <w:rsid w:val="35465622"/>
    <w:rsid w:val="3FB92F6A"/>
    <w:rsid w:val="4BCEDF44"/>
    <w:rsid w:val="5FDF7082"/>
    <w:rsid w:val="676F67AD"/>
    <w:rsid w:val="677B596B"/>
    <w:rsid w:val="67EF89D4"/>
    <w:rsid w:val="75FB5EF9"/>
    <w:rsid w:val="75FFD392"/>
    <w:rsid w:val="7AFEF08A"/>
    <w:rsid w:val="7B6776DB"/>
    <w:rsid w:val="B7ABC626"/>
    <w:rsid w:val="BF7F705B"/>
    <w:rsid w:val="C2C75E73"/>
    <w:rsid w:val="D67C42A4"/>
    <w:rsid w:val="E9BD9F45"/>
    <w:rsid w:val="EACF1D8B"/>
    <w:rsid w:val="EBDF220F"/>
    <w:rsid w:val="F53E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4</Pages>
  <Words>103</Words>
  <Characters>588</Characters>
  <Lines>4</Lines>
  <Paragraphs>1</Paragraphs>
  <TotalTime>73</TotalTime>
  <ScaleCrop>false</ScaleCrop>
  <LinksUpToDate>false</LinksUpToDate>
  <CharactersWithSpaces>690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2014-06-10T16:51:00Z</dcterms:created>
  <dc:creator>jsj</dc:creator>
  <cp:lastModifiedBy> Chloe堂姐</cp:lastModifiedBy>
  <cp:lastPrinted>2020-12-27T17:46:00Z</cp:lastPrinted>
  <dcterms:modified xsi:type="dcterms:W3CDTF">2025-04-02T05:37:59Z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E1C2EC8C70C34C1B9DFDD4607ACC5396_13</vt:lpwstr>
  </property>
</Properties>
</file>