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napToGrid w:val="0"/>
        <w:jc w:val="center"/>
        <w:rPr>
          <w:rFonts w:ascii="Times New Roman" w:hAnsi="Times New Roman" w:eastAsia="仿宋_GB2312"/>
          <w:szCs w:val="32"/>
        </w:rPr>
      </w:pPr>
    </w:p>
    <w:p>
      <w:pPr>
        <w:pStyle w:val="2"/>
        <w:snapToGrid w:val="0"/>
        <w:spacing w:line="240" w:lineRule="exact"/>
        <w:jc w:val="center"/>
        <w:rPr>
          <w:rFonts w:ascii="Times New Roman" w:hAnsi="Times New Roman" w:eastAsia="仿宋_GB2312"/>
          <w:szCs w:val="32"/>
        </w:rPr>
      </w:pPr>
    </w:p>
    <w:p>
      <w:pPr>
        <w:pStyle w:val="2"/>
        <w:snapToGrid w:val="0"/>
        <w:jc w:val="center"/>
        <w:rPr>
          <w:rStyle w:val="11"/>
          <w:rFonts w:hint="eastAsia" w:ascii="方正小标宋简体" w:hAnsi="方正小标宋_GBK" w:eastAsia="方正小标宋简体" w:cs="方正小标宋_GBK"/>
          <w:color w:val="auto"/>
          <w:sz w:val="44"/>
          <w:szCs w:val="44"/>
          <w:u w:val="none"/>
        </w:rPr>
      </w:pPr>
      <w:r>
        <w:rPr>
          <w:rStyle w:val="11"/>
          <w:rFonts w:hint="eastAsia" w:ascii="方正小标宋简体" w:hAnsi="方正小标宋_GBK" w:eastAsia="方正小标宋简体" w:cs="方正小标宋_GBK"/>
          <w:color w:val="auto"/>
          <w:sz w:val="44"/>
          <w:szCs w:val="44"/>
          <w:u w:val="none"/>
        </w:rPr>
        <w:t>天津市人民政府办公厅印发关于</w:t>
      </w:r>
    </w:p>
    <w:p>
      <w:pPr>
        <w:pStyle w:val="2"/>
        <w:snapToGrid w:val="0"/>
        <w:jc w:val="center"/>
        <w:rPr>
          <w:rStyle w:val="11"/>
          <w:rFonts w:hint="eastAsia" w:ascii="方正小标宋简体" w:hAnsi="方正小标宋_GBK" w:eastAsia="方正小标宋简体" w:cs="方正小标宋_GBK"/>
          <w:color w:val="auto"/>
          <w:sz w:val="44"/>
          <w:szCs w:val="44"/>
          <w:u w:val="none"/>
        </w:rPr>
      </w:pPr>
      <w:r>
        <w:rPr>
          <w:rStyle w:val="11"/>
          <w:rFonts w:hint="eastAsia" w:ascii="方正小标宋简体" w:hAnsi="方正小标宋_GBK" w:eastAsia="方正小标宋简体" w:cs="方正小标宋_GBK"/>
          <w:color w:val="auto"/>
          <w:sz w:val="44"/>
          <w:szCs w:val="44"/>
          <w:u w:val="none"/>
        </w:rPr>
        <w:t>提升城市服务保障水平促进新市民安居乐业</w:t>
      </w:r>
    </w:p>
    <w:p>
      <w:pPr>
        <w:pStyle w:val="2"/>
        <w:snapToGrid w:val="0"/>
        <w:jc w:val="center"/>
        <w:rPr>
          <w:rStyle w:val="11"/>
          <w:rFonts w:ascii="Times New Roman" w:hAnsi="Times New Roman" w:eastAsia="方正小标宋_GBK" w:cs="方正小标宋_GBK"/>
          <w:color w:val="auto"/>
          <w:sz w:val="44"/>
          <w:szCs w:val="44"/>
          <w:u w:val="none"/>
        </w:rPr>
      </w:pPr>
      <w:r>
        <w:rPr>
          <w:rStyle w:val="11"/>
          <w:rFonts w:hint="eastAsia" w:ascii="方正小标宋简体" w:hAnsi="方正小标宋_GBK" w:eastAsia="方正小标宋简体" w:cs="方正小标宋_GBK"/>
          <w:color w:val="auto"/>
          <w:sz w:val="44"/>
          <w:szCs w:val="44"/>
          <w:u w:val="none"/>
        </w:rPr>
        <w:t>若干措施的通知</w:t>
      </w:r>
    </w:p>
    <w:p>
      <w:pPr>
        <w:pStyle w:val="2"/>
        <w:snapToGrid w:val="0"/>
        <w:rPr>
          <w:rFonts w:ascii="Times New Roman" w:hAnsi="Times New Roman" w:eastAsia="仿宋_GB2312" w:cs="仿宋_GB2312"/>
          <w:szCs w:val="32"/>
        </w:rPr>
      </w:pPr>
    </w:p>
    <w:p>
      <w:pPr>
        <w:pStyle w:val="2"/>
        <w:rPr>
          <w:rFonts w:ascii="Times New Roman" w:hAnsi="Times New Roman" w:eastAsia="仿宋_GB2312"/>
        </w:rPr>
      </w:pPr>
      <w:r>
        <w:rPr>
          <w:rFonts w:hint="eastAsia" w:ascii="Times New Roman" w:hAnsi="Times New Roman" w:eastAsia="仿宋_GB2312"/>
        </w:rPr>
        <w:t>各区人民政府，市政府各委、办、局：</w:t>
      </w:r>
    </w:p>
    <w:p>
      <w:pPr>
        <w:pStyle w:val="2"/>
        <w:ind w:firstLine="612" w:firstLineChars="196"/>
        <w:rPr>
          <w:rFonts w:ascii="Times New Roman" w:hAnsi="Times New Roman" w:eastAsia="仿宋_GB2312"/>
          <w:szCs w:val="32"/>
        </w:rPr>
      </w:pPr>
      <w:r>
        <w:rPr>
          <w:rFonts w:hint="eastAsia" w:ascii="Times New Roman" w:hAnsi="Times New Roman" w:eastAsia="仿宋_GB2312"/>
          <w:szCs w:val="32"/>
        </w:rPr>
        <w:t>经市人民政府同意，现将《关于提升城市服务保障水平促进新市民安居乐业的若干措施》印发给你们，请照此执行。</w:t>
      </w:r>
    </w:p>
    <w:p>
      <w:pPr>
        <w:pStyle w:val="2"/>
        <w:rPr>
          <w:rFonts w:ascii="Times New Roman" w:hAnsi="Times New Roman" w:eastAsia="仿宋_GB2312"/>
          <w:szCs w:val="32"/>
        </w:rPr>
      </w:pPr>
    </w:p>
    <w:p>
      <w:pPr>
        <w:pStyle w:val="2"/>
        <w:keepNext w:val="0"/>
        <w:keepLines w:val="0"/>
        <w:pageBreakBefore w:val="0"/>
        <w:widowControl w:val="0"/>
        <w:kinsoku/>
        <w:overflowPunct/>
        <w:topLinePunct w:val="0"/>
        <w:autoSpaceDE/>
        <w:autoSpaceDN/>
        <w:bidi w:val="0"/>
        <w:adjustRightInd/>
        <w:snapToGrid/>
        <w:spacing w:line="360" w:lineRule="auto"/>
        <w:jc w:val="center"/>
        <w:textAlignment w:val="auto"/>
        <w:rPr>
          <w:rFonts w:hint="default" w:ascii="Times New Roman" w:hAnsi="Times New Roman" w:eastAsia="仿宋_GB2312"/>
          <w:szCs w:val="32"/>
          <w:lang w:val="en-US" w:eastAsia="zh-CN"/>
        </w:rPr>
      </w:pPr>
      <w:r>
        <w:rPr>
          <w:rFonts w:hint="eastAsia" w:ascii="Times New Roman" w:hAnsi="Times New Roman" w:eastAsia="仿宋_GB2312"/>
          <w:szCs w:val="32"/>
          <w:lang w:val="en-US" w:eastAsia="zh-CN"/>
        </w:rPr>
        <w:t xml:space="preserve">                         天津市人民政府办公厅</w:t>
      </w:r>
    </w:p>
    <w:p>
      <w:pPr>
        <w:pStyle w:val="2"/>
        <w:keepNext w:val="0"/>
        <w:keepLines w:val="0"/>
        <w:pageBreakBefore w:val="0"/>
        <w:widowControl w:val="0"/>
        <w:kinsoku/>
        <w:wordWrap w:val="0"/>
        <w:overflowPunct/>
        <w:topLinePunct w:val="0"/>
        <w:autoSpaceDE/>
        <w:autoSpaceDN/>
        <w:bidi w:val="0"/>
        <w:adjustRightInd/>
        <w:snapToGrid/>
        <w:spacing w:line="360" w:lineRule="auto"/>
        <w:jc w:val="right"/>
        <w:textAlignment w:val="auto"/>
        <w:rPr>
          <w:rFonts w:ascii="Times New Roman" w:hAnsi="Times New Roman" w:eastAsia="仿宋_GB2312"/>
          <w:szCs w:val="32"/>
        </w:rPr>
      </w:pPr>
      <w:r>
        <w:rPr>
          <w:rFonts w:hint="eastAsia" w:ascii="Times New Roman" w:hAnsi="Times New Roman" w:eastAsia="仿宋_GB2312"/>
          <w:szCs w:val="32"/>
        </w:rPr>
        <w:t xml:space="preserve">2025年3月11日        </w:t>
      </w:r>
    </w:p>
    <w:p>
      <w:pPr>
        <w:pStyle w:val="2"/>
        <w:spacing w:line="320" w:lineRule="exact"/>
        <w:rPr>
          <w:rFonts w:ascii="Times New Roman" w:hAnsi="Times New Roman" w:eastAsia="仿宋_GB2312"/>
          <w:szCs w:val="32"/>
        </w:rPr>
        <w:sectPr>
          <w:headerReference r:id="rId3" w:type="default"/>
          <w:footerReference r:id="rId4" w:type="default"/>
          <w:footerReference r:id="rId5" w:type="even"/>
          <w:pgSz w:w="11907" w:h="16840"/>
          <w:pgMar w:top="2098" w:right="1474" w:bottom="1985" w:left="1588" w:header="851" w:footer="1701" w:gutter="0"/>
          <w:cols w:space="720" w:num="1"/>
          <w:docGrid w:type="linesAndChars" w:linePitch="289" w:charSpace="-1839"/>
        </w:sectPr>
      </w:pPr>
      <w:r>
        <w:rPr>
          <w:rFonts w:hint="eastAsia" w:ascii="Times New Roman" w:hAnsi="Times New Roman" w:eastAsia="仿宋_GB2312"/>
          <w:szCs w:val="32"/>
        </w:rPr>
        <w:t xml:space="preserve">    （此件主动公开）</w:t>
      </w:r>
    </w:p>
    <w:p>
      <w:pPr>
        <w:pStyle w:val="3"/>
        <w:tabs>
          <w:tab w:val="left" w:pos="7920"/>
        </w:tabs>
        <w:snapToGrid w:val="0"/>
        <w:ind w:firstLine="0" w:firstLineChars="0"/>
        <w:jc w:val="center"/>
        <w:rPr>
          <w:rStyle w:val="11"/>
          <w:rFonts w:hint="eastAsia" w:ascii="方正小标宋简体" w:hAnsi="方正小标宋_GBK" w:eastAsia="方正小标宋简体" w:cs="方正小标宋_GBK"/>
          <w:color w:val="auto"/>
          <w:kern w:val="2"/>
          <w:sz w:val="44"/>
          <w:szCs w:val="44"/>
          <w:u w:val="none"/>
          <w:lang w:val="en" w:eastAsia="zh-CN" w:bidi="ar-SA"/>
        </w:rPr>
      </w:pPr>
      <w:r>
        <w:rPr>
          <w:rStyle w:val="11"/>
          <w:rFonts w:hint="eastAsia" w:ascii="方正小标宋简体" w:hAnsi="方正小标宋_GBK" w:eastAsia="方正小标宋简体" w:cs="方正小标宋_GBK"/>
          <w:color w:val="auto"/>
          <w:kern w:val="2"/>
          <w:sz w:val="44"/>
          <w:szCs w:val="44"/>
          <w:u w:val="none"/>
          <w:lang w:val="en" w:eastAsia="zh-CN" w:bidi="ar-SA"/>
        </w:rPr>
        <w:t>关于提升城市服务保障水平</w:t>
      </w:r>
    </w:p>
    <w:p>
      <w:pPr>
        <w:pStyle w:val="3"/>
        <w:tabs>
          <w:tab w:val="left" w:pos="7920"/>
        </w:tabs>
        <w:snapToGrid w:val="0"/>
        <w:ind w:firstLine="0" w:firstLineChars="0"/>
        <w:jc w:val="center"/>
        <w:rPr>
          <w:rStyle w:val="11"/>
          <w:rFonts w:hint="eastAsia" w:ascii="方正小标宋简体" w:hAnsi="方正小标宋_GBK" w:eastAsia="方正小标宋简体" w:cs="方正小标宋_GBK"/>
          <w:color w:val="auto"/>
          <w:kern w:val="2"/>
          <w:sz w:val="44"/>
          <w:szCs w:val="44"/>
          <w:u w:val="none"/>
          <w:lang w:val="en" w:eastAsia="zh-CN" w:bidi="ar-SA"/>
        </w:rPr>
      </w:pPr>
      <w:r>
        <w:rPr>
          <w:rStyle w:val="11"/>
          <w:rFonts w:hint="eastAsia" w:ascii="方正小标宋简体" w:hAnsi="方正小标宋_GBK" w:eastAsia="方正小标宋简体" w:cs="方正小标宋_GBK"/>
          <w:color w:val="auto"/>
          <w:kern w:val="2"/>
          <w:sz w:val="44"/>
          <w:szCs w:val="44"/>
          <w:u w:val="none"/>
          <w:lang w:val="en" w:eastAsia="zh-CN" w:bidi="ar-SA"/>
        </w:rPr>
        <w:t>促进新市民安居乐</w:t>
      </w:r>
      <w:bookmarkStart w:id="0" w:name="_GoBack"/>
      <w:bookmarkEnd w:id="0"/>
      <w:r>
        <w:rPr>
          <w:rStyle w:val="11"/>
          <w:rFonts w:hint="eastAsia" w:ascii="方正小标宋简体" w:hAnsi="方正小标宋_GBK" w:eastAsia="方正小标宋简体" w:cs="方正小标宋_GBK"/>
          <w:color w:val="auto"/>
          <w:kern w:val="2"/>
          <w:sz w:val="44"/>
          <w:szCs w:val="44"/>
          <w:u w:val="none"/>
          <w:lang w:val="en" w:eastAsia="zh-CN" w:bidi="ar-SA"/>
        </w:rPr>
        <w:t>业的若干措施</w:t>
      </w:r>
    </w:p>
    <w:p>
      <w:pPr>
        <w:pStyle w:val="3"/>
        <w:tabs>
          <w:tab w:val="left" w:pos="7920"/>
        </w:tabs>
        <w:snapToGrid w:val="0"/>
        <w:ind w:firstLine="0" w:firstLineChars="0"/>
        <w:rPr>
          <w:rFonts w:ascii="Times New Roman" w:hAnsi="Times New Roman" w:eastAsia="仿宋_GB2312"/>
          <w:szCs w:val="32"/>
          <w:lang w:val="en"/>
        </w:rPr>
      </w:pPr>
    </w:p>
    <w:p>
      <w:pPr>
        <w:pStyle w:val="3"/>
        <w:tabs>
          <w:tab w:val="left" w:pos="7920"/>
        </w:tabs>
        <w:ind w:firstLine="624" w:firstLineChars="200"/>
        <w:rPr>
          <w:rFonts w:ascii="Times New Roman" w:hAnsi="Times New Roman" w:eastAsia="仿宋_GB2312"/>
          <w:szCs w:val="32"/>
          <w:lang w:val="en"/>
        </w:rPr>
      </w:pPr>
      <w:r>
        <w:rPr>
          <w:rFonts w:hint="eastAsia" w:ascii="Times New Roman" w:hAnsi="Times New Roman" w:eastAsia="仿宋_GB2312"/>
          <w:szCs w:val="32"/>
          <w:lang w:val="en"/>
        </w:rPr>
        <w:t>新市民是城市建设的生力军，是中国式现代化场景下和高质量发展进程中的重要群体，是全面建设社会主义现代化大都市的重要力量。为深入践行人民城市理念，着力提升城市服务保障水平，促进新市民安居乐业，增强城市吸引力，提高城市竞争力，汇聚发展新动力，制定如下措施。</w:t>
      </w:r>
    </w:p>
    <w:p>
      <w:pPr>
        <w:pStyle w:val="3"/>
        <w:tabs>
          <w:tab w:val="left" w:pos="7920"/>
        </w:tabs>
        <w:ind w:firstLine="624" w:firstLineChars="200"/>
        <w:rPr>
          <w:rFonts w:ascii="Times New Roman" w:hAnsi="Times New Roman" w:eastAsia="黑体" w:cs="黑体"/>
          <w:szCs w:val="32"/>
          <w:lang w:val="en"/>
        </w:rPr>
      </w:pPr>
      <w:r>
        <w:rPr>
          <w:rFonts w:hint="eastAsia" w:ascii="Times New Roman" w:hAnsi="Times New Roman" w:eastAsia="黑体" w:cs="黑体"/>
          <w:szCs w:val="32"/>
          <w:lang w:val="en"/>
        </w:rPr>
        <w:t>一、突出就业优先，解决新市民入职问题</w:t>
      </w:r>
    </w:p>
    <w:p>
      <w:pPr>
        <w:pStyle w:val="3"/>
        <w:tabs>
          <w:tab w:val="left" w:pos="7920"/>
        </w:tabs>
        <w:ind w:firstLine="624" w:firstLineChars="200"/>
        <w:rPr>
          <w:rFonts w:ascii="Times New Roman" w:hAnsi="Times New Roman" w:eastAsia="楷体_GB2312" w:cs="楷体_GB2312"/>
          <w:szCs w:val="32"/>
          <w:lang w:val="en"/>
        </w:rPr>
      </w:pPr>
      <w:r>
        <w:rPr>
          <w:rFonts w:hint="eastAsia" w:ascii="Times New Roman" w:hAnsi="Times New Roman" w:eastAsia="楷体_GB2312" w:cs="楷体_GB2312"/>
          <w:szCs w:val="32"/>
          <w:lang w:val="en"/>
        </w:rPr>
        <w:t>（一）坚持经济发展就业导向，扩大就业容量</w:t>
      </w:r>
    </w:p>
    <w:p>
      <w:pPr>
        <w:pStyle w:val="3"/>
        <w:tabs>
          <w:tab w:val="left" w:pos="7920"/>
        </w:tabs>
        <w:ind w:firstLine="624" w:firstLineChars="200"/>
        <w:rPr>
          <w:rFonts w:ascii="Times New Roman" w:hAnsi="Times New Roman" w:eastAsia="仿宋_GB2312"/>
          <w:szCs w:val="32"/>
          <w:lang w:val="en"/>
        </w:rPr>
      </w:pPr>
      <w:r>
        <w:rPr>
          <w:rFonts w:hint="eastAsia" w:ascii="Times New Roman" w:hAnsi="Times New Roman" w:eastAsia="仿宋_GB2312"/>
          <w:szCs w:val="32"/>
          <w:lang w:val="en"/>
        </w:rPr>
        <w:t>1．促进高质量充分就业。发挥重点企业用工服务保障机制作用，支持吸纳就业能力强的行业企业扩大就业岗位，推动重点企业用工服务向中小企业延伸，鼓励更多中小微企业、个体工商户等吸纳就业。（市人社局、市发展改革委、市工业和信息化局按职责分工负责）完善重点群体就业支持政策，开发更多有利于高校毕业生发挥所学所长的就业岗位，多措并举促进农民工就业，加强对就业困难群体帮扶，做好退役军人等群体就业工作。（市人社局、市教委、市退役军人局按职责分工负责）</w:t>
      </w:r>
    </w:p>
    <w:p>
      <w:pPr>
        <w:pStyle w:val="3"/>
        <w:tabs>
          <w:tab w:val="left" w:pos="7920"/>
        </w:tabs>
        <w:ind w:firstLine="624" w:firstLineChars="200"/>
        <w:rPr>
          <w:rFonts w:ascii="Times New Roman" w:hAnsi="Times New Roman" w:eastAsia="仿宋_GB2312"/>
          <w:szCs w:val="32"/>
          <w:lang w:val="en"/>
        </w:rPr>
      </w:pPr>
      <w:r>
        <w:rPr>
          <w:rFonts w:hint="eastAsia" w:ascii="Times New Roman" w:hAnsi="Times New Roman" w:eastAsia="仿宋_GB2312"/>
          <w:szCs w:val="32"/>
          <w:lang w:val="en"/>
        </w:rPr>
        <w:t>2．支持和规范发展新就业形态。落实新就业形态劳动者劳动关系确认标准。督促平台企业、平台用工合作企业依法为符合确立劳动关系情形的员工参加社会保险。鼓励和引导不完全符合确立劳动关系情形的新就业形态劳动者以灵活就业人员身份参加企业职工社会保险，不受户籍限制。（市人社局、市医保局、市税务局按职责分工负责）支持新就业形态劳动者参加职称申报评审。（市人社局牵头负责）推动保险公司针对新市民较为集中的行业和建筑工人、快递骑手、网约车司机等职业风险较为突出的新市民群体，提供灵活、实惠、便利的雇主责任险、意外险、团体健康保险等产品。（天津金融监管局牵头负责）</w:t>
      </w:r>
    </w:p>
    <w:p>
      <w:pPr>
        <w:pStyle w:val="3"/>
        <w:tabs>
          <w:tab w:val="left" w:pos="7920"/>
        </w:tabs>
        <w:ind w:firstLine="624" w:firstLineChars="200"/>
        <w:rPr>
          <w:rFonts w:ascii="Times New Roman" w:hAnsi="Times New Roman" w:eastAsia="楷体_GB2312" w:cs="楷体_GB2312"/>
          <w:szCs w:val="32"/>
          <w:lang w:val="en"/>
        </w:rPr>
      </w:pPr>
      <w:r>
        <w:rPr>
          <w:rFonts w:hint="eastAsia" w:ascii="Times New Roman" w:hAnsi="Times New Roman" w:eastAsia="楷体_GB2312" w:cs="楷体_GB2312"/>
          <w:szCs w:val="32"/>
          <w:lang w:val="en"/>
        </w:rPr>
        <w:t>（二）积极支持新市民创业，鼓励创业带动就业</w:t>
      </w:r>
    </w:p>
    <w:p>
      <w:pPr>
        <w:pStyle w:val="3"/>
        <w:tabs>
          <w:tab w:val="left" w:pos="7920"/>
        </w:tabs>
        <w:ind w:firstLine="624" w:firstLineChars="200"/>
        <w:rPr>
          <w:rFonts w:ascii="Times New Roman" w:hAnsi="Times New Roman" w:eastAsia="仿宋_GB2312"/>
          <w:szCs w:val="32"/>
          <w:lang w:val="en"/>
        </w:rPr>
      </w:pPr>
      <w:r>
        <w:rPr>
          <w:rFonts w:hint="eastAsia" w:ascii="Times New Roman" w:hAnsi="Times New Roman" w:eastAsia="仿宋_GB2312"/>
          <w:szCs w:val="32"/>
          <w:lang w:val="en"/>
        </w:rPr>
        <w:t>3．支持重点群体创业。聚焦高校毕业生、农村劳动力、就业困难人员等重点群体，落实创业培训政策，加强创业培训后续支持服务。（市人社局牵头负责）提升创聚津门全国大学生智能科技创新创业挑战赛、“海河英才”创新创业大赛等一系列赛事活动，吸引更多优秀大学生创业人才来津发展。高水平建设“天开海归小镇”，支持国家海外人才离岸创新创业基地发展。（市人社局、市教委按职责分工负责）</w:t>
      </w:r>
    </w:p>
    <w:p>
      <w:pPr>
        <w:pStyle w:val="3"/>
        <w:tabs>
          <w:tab w:val="left" w:pos="7920"/>
        </w:tabs>
        <w:ind w:firstLine="624" w:firstLineChars="200"/>
        <w:rPr>
          <w:rFonts w:ascii="Times New Roman" w:hAnsi="Times New Roman" w:eastAsia="仿宋_GB2312"/>
          <w:szCs w:val="32"/>
          <w:lang w:val="en"/>
        </w:rPr>
      </w:pPr>
      <w:r>
        <w:rPr>
          <w:rFonts w:hint="eastAsia" w:ascii="Times New Roman" w:hAnsi="Times New Roman" w:eastAsia="仿宋_GB2312"/>
          <w:szCs w:val="32"/>
          <w:lang w:val="en"/>
        </w:rPr>
        <w:t>4．强化创业扶持政策。对在津首次创办企业并担任法定代表人的本市全日制高校在校生和毕业5年内的毕业生，按规定给予社会保险补贴和岗位补贴。支持商业银行按规定向在本市创办企业、个体工商户、农村合作社等经营实体的新市民发放最高30万元个人创业担保贷款。对于新市民申请的小微企业主贷款、个人经营贷款等，鼓励在津商业银行在合规和符合风险管理要求的前提下，允许新市民以其异地押品提供增信。（市人社局、市财政局、市教委、天津金融监管局、中国人民银行天津市分行，各区人民政府按职责分工负责）</w:t>
      </w:r>
    </w:p>
    <w:p>
      <w:pPr>
        <w:pStyle w:val="3"/>
        <w:tabs>
          <w:tab w:val="left" w:pos="7920"/>
        </w:tabs>
        <w:ind w:firstLine="624" w:firstLineChars="200"/>
        <w:rPr>
          <w:rFonts w:ascii="Times New Roman" w:hAnsi="Times New Roman" w:eastAsia="楷体_GB2312" w:cs="楷体_GB2312"/>
          <w:szCs w:val="32"/>
          <w:lang w:val="en"/>
        </w:rPr>
      </w:pPr>
      <w:r>
        <w:rPr>
          <w:rFonts w:hint="eastAsia" w:ascii="Times New Roman" w:hAnsi="Times New Roman" w:eastAsia="楷体_GB2312" w:cs="楷体_GB2312"/>
          <w:szCs w:val="32"/>
          <w:lang w:val="en"/>
        </w:rPr>
        <w:t>（三）完善公共就业服务，提高新市民就业能力</w:t>
      </w:r>
    </w:p>
    <w:p>
      <w:pPr>
        <w:pStyle w:val="3"/>
        <w:tabs>
          <w:tab w:val="left" w:pos="7920"/>
        </w:tabs>
        <w:ind w:firstLine="624" w:firstLineChars="200"/>
        <w:rPr>
          <w:rFonts w:ascii="Times New Roman" w:hAnsi="Times New Roman" w:eastAsia="仿宋_GB2312"/>
          <w:szCs w:val="32"/>
          <w:lang w:val="en"/>
        </w:rPr>
      </w:pPr>
      <w:r>
        <w:rPr>
          <w:rFonts w:hint="eastAsia" w:ascii="Times New Roman" w:hAnsi="Times New Roman" w:eastAsia="仿宋_GB2312"/>
          <w:szCs w:val="32"/>
          <w:lang w:val="en"/>
        </w:rPr>
        <w:t>5．完善公共就业服务。打造“想就业、找人社”公共就业服务“津”字招牌，加大公共就业服务供给。加快建设“津彩e就业”驿站，打造“家门口”的就业服务站，为新市民提供更多高效便捷精准的社区就业服务。加大失业动态监测分析力度，增加监测企业样本总量，将300人以下企业监测样本占比增至70%。（市人社局牵头负责）</w:t>
      </w:r>
    </w:p>
    <w:p>
      <w:pPr>
        <w:pStyle w:val="3"/>
        <w:tabs>
          <w:tab w:val="left" w:pos="7920"/>
        </w:tabs>
        <w:ind w:firstLine="624" w:firstLineChars="200"/>
        <w:rPr>
          <w:rFonts w:ascii="Times New Roman" w:hAnsi="Times New Roman" w:eastAsia="仿宋_GB2312"/>
          <w:szCs w:val="32"/>
          <w:lang w:val="en"/>
        </w:rPr>
      </w:pPr>
      <w:r>
        <w:rPr>
          <w:rFonts w:hint="eastAsia" w:ascii="Times New Roman" w:hAnsi="Times New Roman" w:eastAsia="仿宋_GB2312"/>
          <w:szCs w:val="32"/>
          <w:lang w:val="en"/>
        </w:rPr>
        <w:t>6．加强职业技能培训。面向新市民开展职业技能培训，按规定给予培训补贴。支持青年群体参加定向培训、企业新型学徒制培训、项目制培训、“师带徒”培训等。组织开展“爱津城·强技能·促就业”天津市大学生就业技能培训活动。引导农村劳动力参加急需紧缺职业技能培训，促进农村劳动力技能就业、稳定就业。（市人社局、市教委按职责分工负责）</w:t>
      </w:r>
    </w:p>
    <w:p>
      <w:pPr>
        <w:pStyle w:val="3"/>
        <w:tabs>
          <w:tab w:val="left" w:pos="7920"/>
        </w:tabs>
        <w:ind w:firstLine="624" w:firstLineChars="200"/>
        <w:rPr>
          <w:rFonts w:ascii="Times New Roman" w:hAnsi="Times New Roman" w:eastAsia="楷体_GB2312" w:cs="楷体_GB2312"/>
          <w:szCs w:val="32"/>
          <w:lang w:val="en"/>
        </w:rPr>
      </w:pPr>
      <w:r>
        <w:rPr>
          <w:rFonts w:hint="eastAsia" w:ascii="Times New Roman" w:hAnsi="Times New Roman" w:eastAsia="楷体_GB2312" w:cs="楷体_GB2312"/>
          <w:szCs w:val="32"/>
          <w:lang w:val="en"/>
        </w:rPr>
        <w:t>（四）完善社会保障，维护新市民权益</w:t>
      </w:r>
    </w:p>
    <w:p>
      <w:pPr>
        <w:pStyle w:val="3"/>
        <w:tabs>
          <w:tab w:val="left" w:pos="7920"/>
        </w:tabs>
        <w:ind w:firstLine="624" w:firstLineChars="200"/>
        <w:rPr>
          <w:rFonts w:ascii="Times New Roman" w:hAnsi="Times New Roman" w:eastAsia="仿宋_GB2312"/>
          <w:szCs w:val="32"/>
          <w:lang w:val="en"/>
        </w:rPr>
      </w:pPr>
      <w:r>
        <w:rPr>
          <w:rFonts w:hint="eastAsia" w:ascii="Times New Roman" w:hAnsi="Times New Roman" w:eastAsia="仿宋_GB2312"/>
          <w:szCs w:val="32"/>
          <w:lang w:val="en"/>
        </w:rPr>
        <w:t>7．优化完善保障制度。加强社保“一卡通”建设，推动工伤保险跨省异地就医直接结算、职业年金转移接续等更多事项一网通办、跨省通办。落实保障农民工工资支付相关制度，持续完善天津市农民工工资支付监控预警平台应用，及时查处拖欠农民工工资案件。（市人社局牵头负责）开展为农民工、困难职工和新就业形态劳动者免费健康查体活动，按规定为持有工会会员服务卡的在职工会会员提供指定重大疾病、非工伤意外身故及家庭火灾损失等救助。（市总工会牵头负责）</w:t>
      </w:r>
    </w:p>
    <w:p>
      <w:pPr>
        <w:pStyle w:val="3"/>
        <w:tabs>
          <w:tab w:val="left" w:pos="7920"/>
        </w:tabs>
        <w:ind w:firstLine="624" w:firstLineChars="200"/>
        <w:rPr>
          <w:rFonts w:ascii="Times New Roman" w:hAnsi="Times New Roman" w:eastAsia="黑体" w:cs="黑体"/>
          <w:szCs w:val="32"/>
          <w:lang w:val="en"/>
        </w:rPr>
      </w:pPr>
      <w:r>
        <w:rPr>
          <w:rFonts w:hint="eastAsia" w:ascii="Times New Roman" w:hAnsi="Times New Roman" w:eastAsia="黑体" w:cs="黑体"/>
          <w:szCs w:val="32"/>
          <w:lang w:val="en"/>
        </w:rPr>
        <w:t>二、坚持租购并举，解决新市民入住问题</w:t>
      </w:r>
    </w:p>
    <w:p>
      <w:pPr>
        <w:pStyle w:val="3"/>
        <w:tabs>
          <w:tab w:val="left" w:pos="7920"/>
        </w:tabs>
        <w:ind w:firstLine="624" w:firstLineChars="200"/>
        <w:rPr>
          <w:rFonts w:ascii="Times New Roman" w:hAnsi="Times New Roman" w:eastAsia="楷体_GB2312" w:cs="楷体_GB2312"/>
          <w:szCs w:val="32"/>
          <w:lang w:val="en"/>
        </w:rPr>
      </w:pPr>
      <w:r>
        <w:rPr>
          <w:rFonts w:hint="eastAsia" w:ascii="Times New Roman" w:hAnsi="Times New Roman" w:eastAsia="楷体_GB2312" w:cs="楷体_GB2312"/>
          <w:szCs w:val="32"/>
          <w:lang w:val="en"/>
        </w:rPr>
        <w:t>（五）提升房源供给水平，多渠道满足新市民住房需求</w:t>
      </w:r>
    </w:p>
    <w:p>
      <w:pPr>
        <w:pStyle w:val="3"/>
        <w:tabs>
          <w:tab w:val="left" w:pos="7920"/>
        </w:tabs>
        <w:ind w:firstLine="624" w:firstLineChars="200"/>
        <w:rPr>
          <w:rFonts w:ascii="Times New Roman" w:hAnsi="Times New Roman" w:eastAsia="仿宋_GB2312"/>
          <w:szCs w:val="32"/>
          <w:lang w:val="en"/>
        </w:rPr>
      </w:pPr>
      <w:r>
        <w:rPr>
          <w:rFonts w:hint="eastAsia" w:ascii="Times New Roman" w:hAnsi="Times New Roman" w:eastAsia="仿宋_GB2312"/>
          <w:szCs w:val="32"/>
          <w:lang w:val="en"/>
        </w:rPr>
        <w:t>8．</w:t>
      </w:r>
      <w:r>
        <w:rPr>
          <w:rFonts w:hint="eastAsia" w:ascii="Times New Roman" w:hAnsi="Times New Roman" w:eastAsia="仿宋_GB2312"/>
          <w:spacing w:val="-4"/>
          <w:szCs w:val="32"/>
          <w:lang w:val="en"/>
        </w:rPr>
        <w:t>强化对新市民住房支持。深入实施本市进一步优化房地产政策更好满足居民合理住房需求若干措施，减轻新市民购房负担，更好满足新市民刚性和多样化改善性住房需求。（市住房城乡建设委牵头负责）加快发展保障性租赁住房，在符合规划原则、权属不变、满足安全要求、尊重群众意愿的前提下，盘活闲置和低效存量非居住房屋，有效扩大保障性租赁房源筹集。具有本市户籍且在租住区</w:t>
      </w:r>
      <w:r>
        <w:rPr>
          <w:rFonts w:hint="eastAsia" w:ascii="Times New Roman" w:hAnsi="Times New Roman" w:eastAsia="仿宋_GB2312"/>
          <w:spacing w:val="-6"/>
          <w:szCs w:val="32"/>
          <w:lang w:val="en"/>
        </w:rPr>
        <w:t>无自有住房的新市民和非本市户籍、在津正式就业且在租住区无自有住房的新市民，均可申请保障性租赁住房。聚焦新市民不同租赁需求，实现精准供应，形成“一张床、一间房、一套房”的多层次租赁住房供应体系。（市住房城乡建设委，各区人民政府按职责分工负责）</w:t>
      </w:r>
    </w:p>
    <w:p>
      <w:pPr>
        <w:pStyle w:val="3"/>
        <w:tabs>
          <w:tab w:val="left" w:pos="7920"/>
        </w:tabs>
        <w:ind w:firstLine="624" w:firstLineChars="200"/>
        <w:rPr>
          <w:rFonts w:ascii="Times New Roman" w:hAnsi="Times New Roman" w:eastAsia="黑体" w:cs="黑体"/>
          <w:szCs w:val="32"/>
          <w:lang w:val="en"/>
        </w:rPr>
      </w:pPr>
      <w:r>
        <w:rPr>
          <w:rFonts w:hint="eastAsia" w:ascii="Times New Roman" w:hAnsi="Times New Roman" w:eastAsia="黑体" w:cs="黑体"/>
          <w:szCs w:val="32"/>
          <w:lang w:val="en"/>
        </w:rPr>
        <w:t>三、优化公共服务，解决新市民落户、入学等问题</w:t>
      </w:r>
    </w:p>
    <w:p>
      <w:pPr>
        <w:pStyle w:val="3"/>
        <w:tabs>
          <w:tab w:val="left" w:pos="7920"/>
        </w:tabs>
        <w:ind w:firstLine="624" w:firstLineChars="200"/>
        <w:rPr>
          <w:rFonts w:ascii="Times New Roman" w:hAnsi="Times New Roman" w:eastAsia="楷体_GB2312" w:cs="楷体_GB2312"/>
          <w:szCs w:val="32"/>
          <w:lang w:val="en"/>
        </w:rPr>
      </w:pPr>
      <w:r>
        <w:rPr>
          <w:rFonts w:hint="eastAsia" w:ascii="Times New Roman" w:hAnsi="Times New Roman" w:eastAsia="楷体_GB2312" w:cs="楷体_GB2312"/>
          <w:szCs w:val="32"/>
          <w:lang w:val="en"/>
        </w:rPr>
        <w:t>（六）优化落户服务，推动新市民在天津扎根</w:t>
      </w:r>
    </w:p>
    <w:p>
      <w:pPr>
        <w:pStyle w:val="3"/>
        <w:tabs>
          <w:tab w:val="left" w:pos="7920"/>
        </w:tabs>
        <w:ind w:firstLine="624" w:firstLineChars="200"/>
        <w:rPr>
          <w:rFonts w:ascii="Times New Roman" w:hAnsi="Times New Roman" w:eastAsia="仿宋_GB2312"/>
          <w:szCs w:val="32"/>
          <w:lang w:val="en"/>
        </w:rPr>
      </w:pPr>
      <w:r>
        <w:rPr>
          <w:rFonts w:hint="eastAsia" w:ascii="Times New Roman" w:hAnsi="Times New Roman" w:eastAsia="仿宋_GB2312"/>
          <w:szCs w:val="32"/>
          <w:lang w:val="en"/>
        </w:rPr>
        <w:t>9．优化积分落户服务。根据本市经济社会发展状况和人口服务管理的需要，适时调整居住证积分指标体系及分值表。推广应用居住证电子信息凭证，为居住证持有人办理子女小学入学预报名、医保、驾驶证申领、车务手续等权益事务提供便利。（市发展改革委、市人社局、市公安局按职责分工负责）</w:t>
      </w:r>
    </w:p>
    <w:p>
      <w:pPr>
        <w:pStyle w:val="3"/>
        <w:tabs>
          <w:tab w:val="left" w:pos="7920"/>
        </w:tabs>
        <w:ind w:firstLine="624" w:firstLineChars="200"/>
        <w:rPr>
          <w:rFonts w:ascii="Times New Roman" w:hAnsi="Times New Roman" w:eastAsia="仿宋_GB2312"/>
          <w:szCs w:val="32"/>
          <w:lang w:val="en"/>
        </w:rPr>
      </w:pPr>
      <w:r>
        <w:rPr>
          <w:rFonts w:hint="eastAsia" w:ascii="Times New Roman" w:hAnsi="Times New Roman" w:eastAsia="仿宋_GB2312"/>
          <w:szCs w:val="32"/>
          <w:lang w:val="en"/>
        </w:rPr>
        <w:t>10．完善人才引进服务。优化升级“海河英才”行动计划，吸引集聚高校毕业生和留学归国人才来津创新创业。对经认定符合相关条件的天开高教科创园高端创新创业人才和急需紧缺人才给予落户支持。（市人社局、市公安局按职责分工负责）</w:t>
      </w:r>
    </w:p>
    <w:p>
      <w:pPr>
        <w:pStyle w:val="3"/>
        <w:tabs>
          <w:tab w:val="left" w:pos="7920"/>
        </w:tabs>
        <w:ind w:firstLine="624" w:firstLineChars="200"/>
        <w:rPr>
          <w:rFonts w:ascii="Times New Roman" w:hAnsi="Times New Roman" w:eastAsia="楷体_GB2312" w:cs="楷体_GB2312"/>
          <w:szCs w:val="32"/>
          <w:lang w:val="en"/>
        </w:rPr>
      </w:pPr>
      <w:r>
        <w:rPr>
          <w:rFonts w:hint="eastAsia" w:ascii="Times New Roman" w:hAnsi="Times New Roman" w:eastAsia="楷体_GB2312" w:cs="楷体_GB2312"/>
          <w:szCs w:val="32"/>
          <w:lang w:val="en"/>
        </w:rPr>
        <w:t>（七）优化教育资源布局，满足新市民子女入学需求</w:t>
      </w:r>
    </w:p>
    <w:p>
      <w:pPr>
        <w:pStyle w:val="3"/>
        <w:tabs>
          <w:tab w:val="left" w:pos="7920"/>
        </w:tabs>
        <w:ind w:firstLine="624" w:firstLineChars="200"/>
        <w:rPr>
          <w:rFonts w:ascii="Times New Roman" w:hAnsi="Times New Roman" w:eastAsia="仿宋_GB2312"/>
          <w:spacing w:val="-2"/>
          <w:szCs w:val="32"/>
          <w:lang w:val="en"/>
        </w:rPr>
      </w:pPr>
      <w:r>
        <w:rPr>
          <w:rFonts w:hint="eastAsia" w:ascii="Times New Roman" w:hAnsi="Times New Roman" w:eastAsia="仿宋_GB2312"/>
          <w:szCs w:val="32"/>
          <w:lang w:val="en"/>
        </w:rPr>
        <w:t>11．促进基础教育优质均衡发展。实施基础教育优质资源辐射引领2.0工程，推动市教委直属学校与河北区、河东区、红桥区、</w:t>
      </w:r>
      <w:r>
        <w:rPr>
          <w:rFonts w:hint="eastAsia" w:ascii="Times New Roman" w:hAnsi="Times New Roman" w:eastAsia="仿宋_GB2312"/>
          <w:spacing w:val="-2"/>
          <w:szCs w:val="32"/>
          <w:lang w:val="en"/>
        </w:rPr>
        <w:t>滨海新区、远郊区深化合作办学。推动市内六区与滨海新区、环城四区、远郊区结成区域教育发展共同体，建设区域优质教育高地。加快办好一批条件较优、质量较高、群众满意的“家门口”新优质学校。持续推动“品牌高中”与“强校工程”项目学校建设，带动城乡普通高中协调发展。（市教委，各区人民政府按职责分工负责）</w:t>
      </w:r>
    </w:p>
    <w:p>
      <w:pPr>
        <w:pStyle w:val="3"/>
        <w:tabs>
          <w:tab w:val="left" w:pos="7920"/>
        </w:tabs>
        <w:ind w:firstLine="624" w:firstLineChars="200"/>
        <w:rPr>
          <w:rFonts w:ascii="Times New Roman" w:hAnsi="Times New Roman" w:eastAsia="仿宋_GB2312"/>
          <w:szCs w:val="32"/>
          <w:lang w:val="en"/>
        </w:rPr>
      </w:pPr>
      <w:r>
        <w:rPr>
          <w:rFonts w:hint="eastAsia" w:ascii="Times New Roman" w:hAnsi="Times New Roman" w:eastAsia="仿宋_GB2312"/>
          <w:szCs w:val="32"/>
          <w:lang w:val="en"/>
        </w:rPr>
        <w:t>12．</w:t>
      </w:r>
      <w:r>
        <w:rPr>
          <w:rFonts w:hint="eastAsia" w:ascii="Times New Roman" w:hAnsi="Times New Roman" w:eastAsia="仿宋_GB2312"/>
          <w:spacing w:val="-6"/>
          <w:szCs w:val="32"/>
          <w:lang w:val="en"/>
        </w:rPr>
        <w:t>保障新市民子女入学。依法保障适龄儿童接受义务教育权利，进一步落实义务教育阶段“两为主、两纳入，以居住证为主要依据”的就学政策，由各区教育行政部门统筹安排符合条件的居住证持有人随迁子女在公办学校就读。各区结合本区实际，做好学校布局规划、摸底调查、政策宣传工作。随迁子女在津入学，不收取规定项目之外的任何其他费用，入学后与本市户籍学生混合编班，统一管理，均衡配置师资。随迁子女学籍、教育收费、评优奖励等方面与本市户籍学生享受同等政策。（市教委，各区人民政府按职责分工负责）</w:t>
      </w:r>
    </w:p>
    <w:p>
      <w:pPr>
        <w:pStyle w:val="3"/>
        <w:tabs>
          <w:tab w:val="left" w:pos="7920"/>
        </w:tabs>
        <w:ind w:firstLine="624" w:firstLineChars="200"/>
        <w:rPr>
          <w:rFonts w:ascii="Times New Roman" w:hAnsi="Times New Roman" w:eastAsia="楷体_GB2312" w:cs="楷体_GB2312"/>
          <w:szCs w:val="32"/>
          <w:lang w:val="en"/>
        </w:rPr>
      </w:pPr>
      <w:r>
        <w:rPr>
          <w:rFonts w:hint="eastAsia" w:ascii="Times New Roman" w:hAnsi="Times New Roman" w:eastAsia="楷体_GB2312" w:cs="楷体_GB2312"/>
          <w:szCs w:val="32"/>
          <w:lang w:val="en"/>
        </w:rPr>
        <w:t>（八）优化医疗卫生资源分布，解决新市民就医难题</w:t>
      </w:r>
    </w:p>
    <w:p>
      <w:pPr>
        <w:pStyle w:val="3"/>
        <w:tabs>
          <w:tab w:val="left" w:pos="7920"/>
        </w:tabs>
        <w:ind w:firstLine="624" w:firstLineChars="200"/>
        <w:rPr>
          <w:rFonts w:ascii="Times New Roman" w:hAnsi="Times New Roman" w:eastAsia="仿宋_GB2312"/>
          <w:spacing w:val="-2"/>
          <w:szCs w:val="32"/>
          <w:lang w:val="en"/>
        </w:rPr>
      </w:pPr>
      <w:r>
        <w:rPr>
          <w:rFonts w:hint="eastAsia" w:ascii="Times New Roman" w:hAnsi="Times New Roman" w:eastAsia="仿宋_GB2312"/>
          <w:szCs w:val="32"/>
          <w:lang w:val="en"/>
        </w:rPr>
        <w:t>13．加快医疗卫生资源均衡布局。健全以区域医院为龙头，社区卫生服务中心和乡镇卫生院为枢纽，社区卫生服务站和村卫生室为基础的基层医疗卫生服务体系，持续提升传染病应对、应急处置、儿科等诊疗能力和水平，提升医务人员医疗服务能力。</w:t>
      </w:r>
      <w:r>
        <w:rPr>
          <w:rFonts w:hint="eastAsia" w:ascii="Times New Roman" w:hAnsi="Times New Roman" w:eastAsia="仿宋_GB2312"/>
          <w:spacing w:val="-2"/>
          <w:szCs w:val="32"/>
          <w:lang w:val="en"/>
        </w:rPr>
        <w:t>在市内六区、东丽区和滨海新区推进城市医疗集团建设，在有农业的区推进紧密型区域医疗卫生共同体建设。完善以儿童专科医院、综合医院儿科、中医医院儿科、妇幼保健机构为主体的高水平儿童医疗服务网络。（市卫生健康委，相关区人民政府按职责分工负责）</w:t>
      </w:r>
    </w:p>
    <w:p>
      <w:pPr>
        <w:pStyle w:val="3"/>
        <w:tabs>
          <w:tab w:val="left" w:pos="7920"/>
        </w:tabs>
        <w:ind w:firstLine="624" w:firstLineChars="200"/>
        <w:rPr>
          <w:rFonts w:ascii="Times New Roman" w:hAnsi="Times New Roman" w:eastAsia="仿宋_GB2312"/>
          <w:szCs w:val="32"/>
          <w:lang w:val="en"/>
        </w:rPr>
      </w:pPr>
      <w:r>
        <w:rPr>
          <w:rFonts w:hint="eastAsia" w:ascii="Times New Roman" w:hAnsi="Times New Roman" w:eastAsia="仿宋_GB2312"/>
          <w:szCs w:val="32"/>
          <w:lang w:val="en"/>
        </w:rPr>
        <w:t>14．同等享受基本医疗保障待遇。新市民在本市实现就业的，应随用人单位参加本市职工基本医疗保险（以下简称职工医保），按规定享受职工医保相关待遇；未实现就业的，可凭相关有效证件参加本市城乡居民基本医疗保险，并可按规定享受财政补助。新市民在外地的职工医保关系转入本市，医保缴费年限累加计算，个人账户基金有效累积，个人权益连续记录。持续扩大异地就医直接结算定点医药机构和门慢特疾病病种范围，便捷新市民异地看病就医，减轻“跑腿垫资”压力。（市医保局牵头负责）</w:t>
      </w:r>
    </w:p>
    <w:p>
      <w:pPr>
        <w:pStyle w:val="3"/>
        <w:tabs>
          <w:tab w:val="left" w:pos="7920"/>
        </w:tabs>
        <w:ind w:firstLine="624" w:firstLineChars="200"/>
        <w:rPr>
          <w:rFonts w:ascii="Times New Roman" w:hAnsi="Times New Roman" w:eastAsia="楷体_GB2312" w:cs="楷体_GB2312"/>
          <w:szCs w:val="32"/>
          <w:lang w:val="en"/>
        </w:rPr>
      </w:pPr>
      <w:r>
        <w:rPr>
          <w:rFonts w:hint="eastAsia" w:ascii="Times New Roman" w:hAnsi="Times New Roman" w:eastAsia="楷体_GB2312" w:cs="楷体_GB2312"/>
          <w:szCs w:val="32"/>
          <w:lang w:val="en"/>
        </w:rPr>
        <w:t>（九）发展养老托育事业，解决新市民后顾之忧</w:t>
      </w:r>
    </w:p>
    <w:p>
      <w:pPr>
        <w:pStyle w:val="3"/>
        <w:tabs>
          <w:tab w:val="left" w:pos="7920"/>
        </w:tabs>
        <w:ind w:firstLine="624" w:firstLineChars="200"/>
        <w:rPr>
          <w:rFonts w:ascii="Times New Roman" w:hAnsi="Times New Roman" w:eastAsia="仿宋_GB2312"/>
          <w:szCs w:val="32"/>
          <w:lang w:val="en"/>
        </w:rPr>
      </w:pPr>
      <w:r>
        <w:rPr>
          <w:rFonts w:hint="eastAsia" w:ascii="Times New Roman" w:hAnsi="Times New Roman" w:eastAsia="仿宋_GB2312"/>
          <w:szCs w:val="32"/>
          <w:lang w:val="en"/>
        </w:rPr>
        <w:t>15．健全“老有所养”服务。加快健全居家社区机构相协调、医养康养相结合的养老服务体系，打造老年人“家门口”一刻钟养老服务圈。扩大养老服务多样化供给，打造智慧化养老服务机构，开设认知障碍照护床位，培训失能老年人家庭照护者。完善对养老机构和护理床位补贴机制，落实京津冀跨区域养老机构补贴申领政策。（市民政局牵头负责）</w:t>
      </w:r>
    </w:p>
    <w:p>
      <w:pPr>
        <w:pStyle w:val="3"/>
        <w:tabs>
          <w:tab w:val="left" w:pos="7920"/>
        </w:tabs>
        <w:ind w:firstLine="624" w:firstLineChars="200"/>
        <w:rPr>
          <w:rFonts w:ascii="Times New Roman" w:hAnsi="Times New Roman" w:eastAsia="仿宋_GB2312"/>
          <w:szCs w:val="32"/>
          <w:lang w:val="en"/>
        </w:rPr>
      </w:pPr>
      <w:r>
        <w:rPr>
          <w:rFonts w:hint="eastAsia" w:ascii="Times New Roman" w:hAnsi="Times New Roman" w:eastAsia="仿宋_GB2312"/>
          <w:szCs w:val="32"/>
          <w:lang w:val="en"/>
        </w:rPr>
        <w:t>16．优化“幼有所育”服务。深入落实婚姻登记“跨省通办”政策，为双方均非本市户籍但一方有本市居住证的婚姻当事人提供婚姻登记服务。开展普惠托育专项行动，构建以社区托育服务、幼儿园托班、用人单位福利性托育服务等为主要类型的托育服务网络，建成一批具有带动效应、承担一定指导功能的托育服务机构。（市卫生健康委、市教委、市民政局、市发展改革委，各区人民政府按职责分工负责）</w:t>
      </w:r>
    </w:p>
    <w:p>
      <w:pPr>
        <w:pStyle w:val="3"/>
        <w:tabs>
          <w:tab w:val="left" w:pos="7920"/>
        </w:tabs>
        <w:ind w:firstLine="624" w:firstLineChars="200"/>
        <w:rPr>
          <w:rFonts w:ascii="Times New Roman" w:hAnsi="Times New Roman" w:eastAsia="楷体_GB2312" w:cs="楷体_GB2312"/>
          <w:szCs w:val="32"/>
          <w:lang w:val="en"/>
        </w:rPr>
      </w:pPr>
      <w:r>
        <w:rPr>
          <w:rFonts w:hint="eastAsia" w:ascii="Times New Roman" w:hAnsi="Times New Roman" w:eastAsia="楷体_GB2312" w:cs="楷体_GB2312"/>
          <w:szCs w:val="32"/>
          <w:lang w:val="en"/>
        </w:rPr>
        <w:t>（十）完善文体公共服务，满足新市民娱乐健身需求</w:t>
      </w:r>
    </w:p>
    <w:p>
      <w:pPr>
        <w:pStyle w:val="3"/>
        <w:tabs>
          <w:tab w:val="left" w:pos="7920"/>
        </w:tabs>
        <w:ind w:firstLine="624" w:firstLineChars="200"/>
        <w:rPr>
          <w:rFonts w:ascii="Times New Roman" w:hAnsi="Times New Roman" w:eastAsia="仿宋_GB2312"/>
          <w:szCs w:val="32"/>
          <w:lang w:val="en"/>
        </w:rPr>
      </w:pPr>
      <w:r>
        <w:rPr>
          <w:rFonts w:hint="eastAsia" w:ascii="Times New Roman" w:hAnsi="Times New Roman" w:eastAsia="仿宋_GB2312"/>
          <w:szCs w:val="32"/>
          <w:lang w:val="en"/>
        </w:rPr>
        <w:t>17．丰富文化生活。举办市民文化艺术节，每年以各区文化场馆、文化广场、基层文化站为阵地，运用市民喜闻乐见的歌舞、曲艺、书画、展览、非遗、诵读、摄影等多种形式组织开展40项群众文化活动，推出1000场经典惠民演出。（市文化和旅游局，各区人民政府按职责分工负责）</w:t>
      </w:r>
    </w:p>
    <w:p>
      <w:pPr>
        <w:pStyle w:val="3"/>
        <w:tabs>
          <w:tab w:val="left" w:pos="7920"/>
        </w:tabs>
        <w:ind w:firstLine="624" w:firstLineChars="200"/>
        <w:rPr>
          <w:rFonts w:ascii="Times New Roman" w:hAnsi="Times New Roman" w:eastAsia="仿宋_GB2312"/>
          <w:szCs w:val="32"/>
          <w:lang w:val="en"/>
        </w:rPr>
      </w:pPr>
      <w:r>
        <w:rPr>
          <w:rFonts w:hint="eastAsia" w:ascii="Times New Roman" w:hAnsi="Times New Roman" w:eastAsia="仿宋_GB2312"/>
          <w:szCs w:val="32"/>
          <w:lang w:val="en"/>
        </w:rPr>
        <w:t>18．推进全民健身。利用社区空地、屋顶桥下等区域，配建嵌入式健身设施。扩大可全天候使用健身设施数量，推动配建职工健身房、百姓健身房、装配式社区智能健身房。新建健身设施项目原则上100%配置老年人和儿童健身设施。（市体育局，各区人民政府按职责分工负责）</w:t>
      </w:r>
    </w:p>
    <w:p>
      <w:pPr>
        <w:pStyle w:val="3"/>
        <w:tabs>
          <w:tab w:val="left" w:pos="7920"/>
        </w:tabs>
        <w:ind w:firstLine="624" w:firstLineChars="200"/>
        <w:rPr>
          <w:rFonts w:ascii="Times New Roman" w:hAnsi="Times New Roman" w:eastAsia="黑体" w:cs="黑体"/>
          <w:szCs w:val="32"/>
          <w:lang w:val="en"/>
        </w:rPr>
      </w:pPr>
      <w:r>
        <w:rPr>
          <w:rFonts w:hint="eastAsia" w:ascii="Times New Roman" w:hAnsi="Times New Roman" w:eastAsia="黑体" w:cs="黑体"/>
          <w:szCs w:val="32"/>
          <w:lang w:val="en"/>
        </w:rPr>
        <w:t>四、强化城市治理，提升新市民生活品质</w:t>
      </w:r>
    </w:p>
    <w:p>
      <w:pPr>
        <w:pStyle w:val="3"/>
        <w:tabs>
          <w:tab w:val="left" w:pos="7920"/>
        </w:tabs>
        <w:ind w:firstLine="624" w:firstLineChars="200"/>
        <w:rPr>
          <w:rFonts w:ascii="Times New Roman" w:hAnsi="Times New Roman" w:eastAsia="楷体_GB2312" w:cs="楷体_GB2312"/>
          <w:szCs w:val="32"/>
          <w:lang w:val="en"/>
        </w:rPr>
      </w:pPr>
      <w:r>
        <w:rPr>
          <w:rFonts w:hint="eastAsia" w:ascii="Times New Roman" w:hAnsi="Times New Roman" w:eastAsia="楷体_GB2312" w:cs="楷体_GB2312"/>
          <w:szCs w:val="32"/>
          <w:lang w:val="en"/>
        </w:rPr>
        <w:t>（十一）高质量推动城市更新，完善城市设施和服务功能</w:t>
      </w:r>
    </w:p>
    <w:p>
      <w:pPr>
        <w:pStyle w:val="3"/>
        <w:tabs>
          <w:tab w:val="left" w:pos="7920"/>
        </w:tabs>
        <w:ind w:firstLine="624" w:firstLineChars="200"/>
        <w:rPr>
          <w:rFonts w:ascii="Times New Roman" w:hAnsi="Times New Roman" w:eastAsia="仿宋_GB2312"/>
          <w:szCs w:val="32"/>
          <w:lang w:val="en"/>
        </w:rPr>
      </w:pPr>
      <w:r>
        <w:rPr>
          <w:rFonts w:hint="eastAsia" w:ascii="Times New Roman" w:hAnsi="Times New Roman" w:eastAsia="仿宋_GB2312"/>
          <w:szCs w:val="32"/>
          <w:lang w:val="en"/>
        </w:rPr>
        <w:t>19．完善市政基础设施。加快推进供热、燃气老旧管网改造。推动建成“城市智管”系统，推进燃气智慧监管平台建设。（市城市管理委牵头负责）推动对市政道路、小区庭院及居民户内劣质供水管道，运行年限满30年、存在安全隐患的其他供水管道及附属设施，影响供水水质、水压和漏水多发的其他管道以及存在安全隐患的二次供水设施等进行改造。（市水务局牵头负责）优化中心城区公交线网和地铁周边公交站点设置，优化地铁、公交、共享单车接驳服务。（市交通运输委牵头负责）</w:t>
      </w:r>
    </w:p>
    <w:p>
      <w:pPr>
        <w:pStyle w:val="3"/>
        <w:tabs>
          <w:tab w:val="left" w:pos="7920"/>
        </w:tabs>
        <w:ind w:firstLine="624" w:firstLineChars="200"/>
        <w:rPr>
          <w:rFonts w:ascii="Times New Roman" w:hAnsi="Times New Roman" w:eastAsia="仿宋_GB2312"/>
          <w:szCs w:val="32"/>
          <w:lang w:val="en"/>
        </w:rPr>
      </w:pPr>
      <w:r>
        <w:rPr>
          <w:rFonts w:hint="eastAsia" w:ascii="Times New Roman" w:hAnsi="Times New Roman" w:eastAsia="仿宋_GB2312"/>
          <w:szCs w:val="32"/>
          <w:lang w:val="en"/>
        </w:rPr>
        <w:t>20．</w:t>
      </w:r>
      <w:r>
        <w:rPr>
          <w:rFonts w:hint="eastAsia" w:ascii="Times New Roman" w:hAnsi="Times New Roman" w:eastAsia="仿宋_GB2312"/>
          <w:spacing w:val="-6"/>
          <w:szCs w:val="32"/>
          <w:lang w:val="en"/>
        </w:rPr>
        <w:t>深入推进城市一刻钟便民生活圈建设。完善社区商业业态功能，优先配齐便利店、菜市场、早餐店、药店等与居民日常生活密切相关的基本保障类业态。鼓励发展新式书店、运动健康、休闲娱乐、助老托育等提升居民幸福感的品质提升类业态。（市商务局、市文化和旅游局、市民政局、市卫生健康委、市体育局按职责分工负责）</w:t>
      </w:r>
    </w:p>
    <w:p>
      <w:pPr>
        <w:pStyle w:val="3"/>
        <w:tabs>
          <w:tab w:val="left" w:pos="7920"/>
        </w:tabs>
        <w:ind w:firstLine="624" w:firstLineChars="200"/>
        <w:rPr>
          <w:rFonts w:ascii="Times New Roman" w:hAnsi="Times New Roman" w:eastAsia="仿宋_GB2312"/>
          <w:szCs w:val="32"/>
          <w:lang w:val="en"/>
        </w:rPr>
      </w:pPr>
      <w:r>
        <w:rPr>
          <w:rFonts w:hint="eastAsia" w:ascii="Times New Roman" w:hAnsi="Times New Roman" w:eastAsia="仿宋_GB2312"/>
          <w:szCs w:val="32"/>
          <w:lang w:val="en"/>
        </w:rPr>
        <w:t>21．推进韧性安全城市建设。全市至少完成51处中心或固定应急避难场所建设。（市应急管理局、市规划资源局，各区人民政府按职责分工负责）持续组织开展城镇燃气、供热设施安全隐患排查整治，坚决防范安全生产事故发生。（市城市管理委牵头负责）提高防灾减灾救灾能力，丰富市级救灾物资储备种类。（市应急管理局、市粮食和物资局按职责分工负责）</w:t>
      </w:r>
    </w:p>
    <w:p>
      <w:pPr>
        <w:pStyle w:val="3"/>
        <w:tabs>
          <w:tab w:val="left" w:pos="7920"/>
        </w:tabs>
        <w:ind w:firstLine="624" w:firstLineChars="200"/>
        <w:rPr>
          <w:rFonts w:ascii="Times New Roman" w:hAnsi="Times New Roman" w:eastAsia="楷体_GB2312" w:cs="楷体_GB2312"/>
          <w:szCs w:val="32"/>
          <w:lang w:val="en"/>
        </w:rPr>
      </w:pPr>
      <w:r>
        <w:rPr>
          <w:rFonts w:hint="eastAsia" w:ascii="Times New Roman" w:hAnsi="Times New Roman" w:eastAsia="楷体_GB2312" w:cs="楷体_GB2312"/>
          <w:szCs w:val="32"/>
          <w:lang w:val="en"/>
        </w:rPr>
        <w:t>（十二）加强城乡治理一体化，推动农业转移人口市民化</w:t>
      </w:r>
    </w:p>
    <w:p>
      <w:pPr>
        <w:pStyle w:val="3"/>
        <w:tabs>
          <w:tab w:val="left" w:pos="7920"/>
        </w:tabs>
        <w:ind w:firstLine="624" w:firstLineChars="200"/>
        <w:rPr>
          <w:rFonts w:ascii="Times New Roman" w:hAnsi="Times New Roman" w:eastAsia="仿宋_GB2312"/>
          <w:szCs w:val="32"/>
          <w:lang w:val="en"/>
        </w:rPr>
      </w:pPr>
      <w:r>
        <w:rPr>
          <w:rFonts w:hint="eastAsia" w:ascii="Times New Roman" w:hAnsi="Times New Roman" w:eastAsia="仿宋_GB2312"/>
          <w:szCs w:val="32"/>
          <w:lang w:val="en"/>
        </w:rPr>
        <w:t>22．深化农村改革。保障进城落户农民合法土地权益，依法维护进城落户农民的土地承包权、宅基地使用权、集体收益分配权，不得将退出上述权益作为农民进城落户的条件。（市农业农村委、市规划资源局，相关区人民政府按职责分工负责）积极落实财政转移支付与农业转移人口挂钩相关政策，以各区农业转移人</w:t>
      </w:r>
      <w:r>
        <w:rPr>
          <w:rFonts w:hint="eastAsia" w:ascii="Times New Roman" w:hAnsi="Times New Roman" w:eastAsia="仿宋_GB2312"/>
          <w:spacing w:val="-2"/>
          <w:szCs w:val="32"/>
          <w:lang w:val="en"/>
        </w:rPr>
        <w:t>口实际进城落户数为核心因素，对农业转移人口落户规模大、新增落户多、基本公共服务成本高的区加大支持。（市财政局牵头负责）</w:t>
      </w:r>
    </w:p>
    <w:p>
      <w:pPr>
        <w:pStyle w:val="3"/>
        <w:tabs>
          <w:tab w:val="left" w:pos="7920"/>
        </w:tabs>
        <w:ind w:firstLine="624" w:firstLineChars="200"/>
        <w:rPr>
          <w:rFonts w:ascii="Times New Roman" w:hAnsi="Times New Roman" w:eastAsia="楷体_GB2312" w:cs="楷体_GB2312"/>
          <w:szCs w:val="32"/>
          <w:lang w:val="en"/>
        </w:rPr>
      </w:pPr>
      <w:r>
        <w:rPr>
          <w:rFonts w:hint="eastAsia" w:ascii="Times New Roman" w:hAnsi="Times New Roman" w:eastAsia="楷体_GB2312" w:cs="楷体_GB2312"/>
          <w:szCs w:val="32"/>
          <w:lang w:val="en"/>
        </w:rPr>
        <w:t>（十三）加快绿色发展，创造美好生活环境</w:t>
      </w:r>
    </w:p>
    <w:p>
      <w:pPr>
        <w:pStyle w:val="3"/>
        <w:tabs>
          <w:tab w:val="left" w:pos="7920"/>
        </w:tabs>
        <w:ind w:firstLine="624" w:firstLineChars="200"/>
        <w:rPr>
          <w:rFonts w:ascii="Times New Roman" w:hAnsi="Times New Roman" w:eastAsia="仿宋_GB2312"/>
          <w:szCs w:val="32"/>
          <w:lang w:val="en"/>
        </w:rPr>
      </w:pPr>
      <w:r>
        <w:rPr>
          <w:rFonts w:hint="eastAsia" w:ascii="Times New Roman" w:hAnsi="Times New Roman" w:eastAsia="仿宋_GB2312"/>
          <w:szCs w:val="32"/>
          <w:lang w:val="en"/>
        </w:rPr>
        <w:t>23．推广绿色生活方式。建立背街里巷环境卫生长效管理机制。加强规范化管理，解决居民家门口装修垃圾治理难题。坚持“扩绿、兴绿、护绿”并举，建成开放柳林公园、设计公园，新建提升改造口袋公园，进一步扩大绿地开放共享空间，让绿色生活更加触手可及。（市城市管理委牵头负责）</w:t>
      </w:r>
    </w:p>
    <w:p>
      <w:pPr>
        <w:pStyle w:val="3"/>
        <w:tabs>
          <w:tab w:val="left" w:pos="7920"/>
        </w:tabs>
        <w:ind w:firstLine="624" w:firstLineChars="200"/>
        <w:rPr>
          <w:rFonts w:ascii="Times New Roman" w:hAnsi="Times New Roman" w:eastAsia="楷体_GB2312" w:cs="楷体_GB2312"/>
          <w:szCs w:val="32"/>
          <w:lang w:val="en"/>
        </w:rPr>
      </w:pPr>
      <w:r>
        <w:rPr>
          <w:rFonts w:hint="eastAsia" w:ascii="Times New Roman" w:hAnsi="Times New Roman" w:eastAsia="楷体_GB2312" w:cs="楷体_GB2312"/>
          <w:szCs w:val="32"/>
          <w:lang w:val="en"/>
        </w:rPr>
        <w:t>（十四）创新社会治理，提升城市温度</w:t>
      </w:r>
    </w:p>
    <w:p>
      <w:pPr>
        <w:pStyle w:val="3"/>
        <w:tabs>
          <w:tab w:val="left" w:pos="7920"/>
        </w:tabs>
        <w:ind w:firstLine="624" w:firstLineChars="200"/>
        <w:rPr>
          <w:rFonts w:ascii="Times New Roman" w:hAnsi="Times New Roman" w:eastAsia="仿宋_GB2312"/>
          <w:szCs w:val="32"/>
          <w:lang w:val="en"/>
        </w:rPr>
      </w:pPr>
      <w:r>
        <w:rPr>
          <w:rFonts w:hint="eastAsia" w:ascii="Times New Roman" w:hAnsi="Times New Roman" w:eastAsia="仿宋_GB2312"/>
          <w:szCs w:val="32"/>
          <w:lang w:val="en"/>
        </w:rPr>
        <w:t>24．优化基层治理。推动社区工作者加强入户走访，做好新市民的需求摸底和联系服务工作。强化社区党群服务中心服务供给，为新市民搭建睦邻友好的交流平台、议事协商的沟通平台。（市委社会工作部、市委组织部，各区人民政府按职责分工负责）坚持和发展新时代“枫桥经验”，完善社会矛盾纠纷源头预防、排查预警、多元化解工作机制，最大限度将矛盾纠纷化解在源头。（市委政法委、市公安局按职责分工负责）</w:t>
      </w:r>
    </w:p>
    <w:p>
      <w:pPr>
        <w:pStyle w:val="3"/>
        <w:tabs>
          <w:tab w:val="left" w:pos="7920"/>
        </w:tabs>
        <w:ind w:firstLine="624" w:firstLineChars="200"/>
        <w:rPr>
          <w:rFonts w:ascii="Times New Roman" w:hAnsi="Times New Roman" w:eastAsia="黑体" w:cs="黑体"/>
          <w:szCs w:val="32"/>
          <w:lang w:val="en"/>
        </w:rPr>
      </w:pPr>
      <w:r>
        <w:rPr>
          <w:rFonts w:hint="eastAsia" w:ascii="Times New Roman" w:hAnsi="Times New Roman" w:eastAsia="仿宋_GB2312"/>
          <w:szCs w:val="32"/>
          <w:lang w:val="en"/>
        </w:rPr>
        <w:t>25．</w:t>
      </w:r>
      <w:r>
        <w:rPr>
          <w:rFonts w:hint="eastAsia" w:ascii="Times New Roman" w:hAnsi="Times New Roman" w:eastAsia="仿宋_GB2312"/>
          <w:spacing w:val="-6"/>
          <w:szCs w:val="32"/>
          <w:lang w:val="en"/>
        </w:rPr>
        <w:t>提升政务服务效能。围绕新市民高频需求，优化完善新生儿出生、教育入学、社会保障卡居民服务等“高效办成一件事”场景服务。提高12345政务服务便民热线平台智能化服务能力，建立新市民关注热点知识标签，设置高频热点问题推荐。优化“天津市网上公安局”平台。（市政务服务办、市人社局、市公安局、市卫生健康委、市教委按职责分工负责）完善升级“津心办”数字化应用平台，上线人才落户、就业创业证查询、社保卡申领、无犯罪记录证明等高频政务服务事项。（市数据局、市人社局、市公安局按职责分工负责）</w:t>
      </w:r>
    </w:p>
    <w:p>
      <w:pPr>
        <w:pStyle w:val="3"/>
        <w:tabs>
          <w:tab w:val="left" w:pos="7920"/>
        </w:tabs>
        <w:ind w:firstLine="624" w:firstLineChars="200"/>
        <w:rPr>
          <w:rFonts w:ascii="Times New Roman" w:hAnsi="Times New Roman" w:eastAsia="黑体" w:cs="黑体"/>
          <w:szCs w:val="32"/>
          <w:lang w:val="en"/>
        </w:rPr>
      </w:pPr>
      <w:r>
        <w:rPr>
          <w:rFonts w:hint="eastAsia" w:ascii="Times New Roman" w:hAnsi="Times New Roman" w:eastAsia="黑体" w:cs="黑体"/>
          <w:szCs w:val="32"/>
          <w:lang w:val="en"/>
        </w:rPr>
        <w:t>五、提升城市形象，增强对新市民吸引力</w:t>
      </w:r>
    </w:p>
    <w:p>
      <w:pPr>
        <w:pStyle w:val="3"/>
        <w:tabs>
          <w:tab w:val="left" w:pos="7920"/>
        </w:tabs>
        <w:ind w:firstLine="624" w:firstLineChars="200"/>
        <w:rPr>
          <w:rFonts w:ascii="Times New Roman" w:hAnsi="Times New Roman" w:eastAsia="楷体_GB2312" w:cs="楷体_GB2312"/>
          <w:szCs w:val="32"/>
          <w:lang w:val="en"/>
        </w:rPr>
      </w:pPr>
      <w:r>
        <w:rPr>
          <w:rFonts w:hint="eastAsia" w:ascii="Times New Roman" w:hAnsi="Times New Roman" w:eastAsia="楷体_GB2312" w:cs="楷体_GB2312"/>
          <w:szCs w:val="32"/>
          <w:lang w:val="en"/>
        </w:rPr>
        <w:t>（十五）保护传承城市文化，培育滋养城市文明</w:t>
      </w:r>
    </w:p>
    <w:p>
      <w:pPr>
        <w:pStyle w:val="3"/>
        <w:tabs>
          <w:tab w:val="left" w:pos="7920"/>
        </w:tabs>
        <w:ind w:firstLine="624" w:firstLineChars="200"/>
        <w:rPr>
          <w:rFonts w:ascii="Times New Roman" w:hAnsi="Times New Roman" w:eastAsia="仿宋_GB2312"/>
          <w:szCs w:val="32"/>
          <w:lang w:val="en"/>
        </w:rPr>
      </w:pPr>
      <w:r>
        <w:rPr>
          <w:rFonts w:hint="eastAsia" w:ascii="Times New Roman" w:hAnsi="Times New Roman" w:eastAsia="仿宋_GB2312"/>
          <w:szCs w:val="32"/>
          <w:lang w:val="en"/>
        </w:rPr>
        <w:t>26．保护好传承好利用好历史文化。全面提升老城厢—古文化街、意式风情区、五大道等街区品质，辐射天津之眼、金街、西北角—大胡同等商圈，打造一批文化特色鲜明的国家级旅游休闲街区。按照红色、亲水、都市、会展、乡村、体育等主题，整合生态景观、历史文化遗产、工业遗产等特色资源，打造一批“当日往返游”、“周末串门游”、“多日深度游”等精品文化旅游线路和文物主题游径。（市文化和旅游局、市商务局、市农业农村委、市工业和信息化局、市体育局，相关区人民政府按职责分工负责）</w:t>
      </w:r>
    </w:p>
    <w:p>
      <w:pPr>
        <w:pStyle w:val="3"/>
        <w:tabs>
          <w:tab w:val="left" w:pos="7920"/>
        </w:tabs>
        <w:ind w:firstLine="624" w:firstLineChars="200"/>
        <w:rPr>
          <w:rFonts w:ascii="Times New Roman" w:hAnsi="Times New Roman" w:eastAsia="仿宋_GB2312"/>
          <w:szCs w:val="32"/>
          <w:lang w:val="en"/>
        </w:rPr>
      </w:pPr>
      <w:r>
        <w:rPr>
          <w:rFonts w:hint="eastAsia" w:ascii="Times New Roman" w:hAnsi="Times New Roman" w:eastAsia="仿宋_GB2312"/>
          <w:szCs w:val="32"/>
          <w:lang w:val="en"/>
        </w:rPr>
        <w:t>27．打造天津文化品牌。鼓励艺术院校开展校企合作，开发</w:t>
      </w:r>
      <w:r>
        <w:rPr>
          <w:rFonts w:hint="eastAsia" w:ascii="Times New Roman" w:hAnsi="Times New Roman" w:eastAsia="仿宋_GB2312" w:cs="仿宋_GB2312"/>
          <w:szCs w:val="32"/>
          <w:lang w:val="en"/>
        </w:rPr>
        <w:t>特色演艺项目进驻景区、街区。开发</w:t>
      </w:r>
      <w:r>
        <w:rPr>
          <w:rFonts w:hint="eastAsia" w:ascii="仿宋_GB2312" w:hAnsi="仿宋_GB2312" w:eastAsia="仿宋_GB2312" w:cs="仿宋_GB2312"/>
          <w:szCs w:val="32"/>
          <w:lang w:val="en"/>
        </w:rPr>
        <w:t>“演艺+特色餐饮”、“演艺+文娱零售”、“演艺+沉浸体验”等多</w:t>
      </w:r>
      <w:r>
        <w:rPr>
          <w:rFonts w:hint="eastAsia" w:ascii="Times New Roman" w:hAnsi="Times New Roman" w:eastAsia="仿宋_GB2312" w:cs="仿宋_GB2312"/>
          <w:szCs w:val="32"/>
          <w:lang w:val="en"/>
        </w:rPr>
        <w:t>元文化娱乐模式，打造一批“演</w:t>
      </w:r>
      <w:r>
        <w:rPr>
          <w:rFonts w:hint="eastAsia" w:ascii="Times New Roman" w:hAnsi="Times New Roman" w:eastAsia="仿宋_GB2312"/>
          <w:szCs w:val="32"/>
          <w:lang w:val="en"/>
        </w:rPr>
        <w:t>艺新空间”。高水平举办海河戏剧节、天津相声节、津遇和平·海棠花节等彰显津派文化特色活动。（市文化和旅游局、市教委，相关区人民政府按职责分工负责）</w:t>
      </w:r>
    </w:p>
    <w:p>
      <w:pPr>
        <w:pStyle w:val="3"/>
        <w:tabs>
          <w:tab w:val="left" w:pos="7920"/>
        </w:tabs>
        <w:ind w:firstLine="624" w:firstLineChars="200"/>
        <w:rPr>
          <w:rFonts w:ascii="Times New Roman" w:hAnsi="Times New Roman" w:eastAsia="仿宋_GB2312"/>
          <w:szCs w:val="32"/>
          <w:lang w:val="en"/>
        </w:rPr>
      </w:pPr>
      <w:r>
        <w:rPr>
          <w:rFonts w:hint="eastAsia" w:ascii="Times New Roman" w:hAnsi="Times New Roman" w:eastAsia="仿宋_GB2312"/>
          <w:szCs w:val="32"/>
          <w:lang w:val="en"/>
        </w:rPr>
        <w:t>28．提升市民文明素质和城市文明程度。深化群众性精神文明创建活动。广泛开展“争做文明有礼天津人”主题活动。（市委宣传部、市文明办按职责分工负责）开展文明交通主题系列行动，深化文明交通志愿者服务和文明交通社会共建行动，倡导文明出行、文明礼让。（市公安局牵头负责）</w:t>
      </w:r>
    </w:p>
    <w:p>
      <w:pPr>
        <w:pStyle w:val="3"/>
        <w:tabs>
          <w:tab w:val="left" w:pos="7920"/>
        </w:tabs>
        <w:ind w:firstLine="624" w:firstLineChars="200"/>
        <w:rPr>
          <w:rFonts w:ascii="Times New Roman" w:hAnsi="Times New Roman" w:eastAsia="楷体_GB2312" w:cs="楷体_GB2312"/>
          <w:szCs w:val="32"/>
          <w:lang w:val="en"/>
        </w:rPr>
      </w:pPr>
      <w:r>
        <w:rPr>
          <w:rFonts w:hint="eastAsia" w:ascii="Times New Roman" w:hAnsi="Times New Roman" w:eastAsia="楷体_GB2312" w:cs="楷体_GB2312"/>
          <w:szCs w:val="32"/>
          <w:lang w:val="en"/>
        </w:rPr>
        <w:t>（十六）加强城市推广，提升城市知名度、美誉度</w:t>
      </w:r>
    </w:p>
    <w:p>
      <w:pPr>
        <w:pStyle w:val="3"/>
        <w:tabs>
          <w:tab w:val="left" w:pos="7920"/>
        </w:tabs>
        <w:ind w:firstLine="624" w:firstLineChars="200"/>
        <w:rPr>
          <w:rFonts w:ascii="Times New Roman" w:hAnsi="Times New Roman" w:eastAsia="仿宋_GB2312"/>
          <w:szCs w:val="32"/>
          <w:lang w:val="en"/>
        </w:rPr>
      </w:pPr>
      <w:r>
        <w:rPr>
          <w:rFonts w:hint="eastAsia" w:ascii="Times New Roman" w:hAnsi="Times New Roman" w:eastAsia="仿宋_GB2312"/>
          <w:szCs w:val="32"/>
          <w:lang w:val="en"/>
        </w:rPr>
        <w:t>29．推动文旅多业态融合发展。实施体育旅游精品示范工程，推出水上、山地、冰雪、康养等体育文旅产品。开发自驾游、房车游营地，推进交旅融合发展。实施乡村旅游提级工程，加快乡村旅游重点片区建设，推出“乐享津郊365”系列活动，举办一批民俗节庆、农耕体验、研学教育、户外运动等农文旅活动。依托科教资源优势，借助博物馆、天开高教科创园等资源积极发展研学旅游。（市文化和旅游局、市体育局、市交通运输委、市农业农村委，各区人民政府按职责分工负责）</w:t>
      </w:r>
    </w:p>
    <w:p>
      <w:pPr>
        <w:pStyle w:val="3"/>
        <w:tabs>
          <w:tab w:val="left" w:pos="7920"/>
        </w:tabs>
        <w:ind w:firstLine="624" w:firstLineChars="200"/>
        <w:rPr>
          <w:rFonts w:ascii="Times New Roman" w:hAnsi="Times New Roman" w:eastAsia="仿宋_GB2312"/>
          <w:szCs w:val="32"/>
          <w:lang w:val="en"/>
        </w:rPr>
      </w:pPr>
      <w:r>
        <w:rPr>
          <w:rFonts w:hint="eastAsia" w:ascii="Times New Roman" w:hAnsi="Times New Roman" w:eastAsia="仿宋_GB2312"/>
          <w:szCs w:val="32"/>
          <w:lang w:val="en"/>
        </w:rPr>
        <w:t>30．</w:t>
      </w:r>
      <w:r>
        <w:rPr>
          <w:rFonts w:hint="eastAsia" w:ascii="Times New Roman" w:hAnsi="Times New Roman" w:eastAsia="仿宋_GB2312"/>
          <w:spacing w:val="-2"/>
          <w:szCs w:val="32"/>
          <w:lang w:val="en"/>
        </w:rPr>
        <w:t>实施城市热度全方位提升行动。用好各类载体和资源，多维度多渠道讲好“天津故事”，展示“津味”特色，扩大城市品牌辨识度和号召力。对接互联网企业，联合开展目的地营销，推出文旅四季主题活动。整合媒体资源打造文旅宣传自媒体、新媒体矩阵。（市委宣传部、市文化和旅游局，各区人民政府按职责分工负责）</w:t>
      </w:r>
    </w:p>
    <w:p>
      <w:pPr>
        <w:pStyle w:val="3"/>
        <w:tabs>
          <w:tab w:val="left" w:pos="7920"/>
        </w:tabs>
        <w:spacing w:after="289" w:afterLines="100"/>
        <w:ind w:firstLine="624" w:firstLineChars="200"/>
        <w:rPr>
          <w:rFonts w:hint="eastAsia" w:ascii="Times New Roman" w:hAnsi="Times New Roman" w:eastAsia="仿宋_GB2312"/>
          <w:szCs w:val="32"/>
          <w:lang w:val="en"/>
        </w:rPr>
      </w:pPr>
      <w:r>
        <w:rPr>
          <w:rFonts w:hint="eastAsia" w:ascii="Times New Roman" w:hAnsi="Times New Roman" w:eastAsia="仿宋_GB2312"/>
          <w:szCs w:val="32"/>
          <w:lang w:val="en"/>
        </w:rPr>
        <w:t>本措施所称新市民，是指在本市城镇常住，未获得本市户籍或获得本市户籍不满三年的各类群体，包括但不限于进城务工人员、新就业大中专毕业生等。</w:t>
      </w:r>
    </w:p>
    <w:p>
      <w:pPr>
        <w:pStyle w:val="3"/>
        <w:tabs>
          <w:tab w:val="left" w:pos="7920"/>
        </w:tabs>
        <w:spacing w:after="289" w:afterLines="100"/>
        <w:ind w:firstLine="184" w:firstLineChars="200"/>
        <w:rPr>
          <w:rFonts w:ascii="Times New Roman" w:hAnsi="Times New Roman"/>
          <w:sz w:val="10"/>
          <w:szCs w:val="10"/>
        </w:rPr>
      </w:pPr>
    </w:p>
    <w:sectPr>
      <w:pgSz w:w="11907" w:h="16840"/>
      <w:pgMar w:top="2098" w:right="1474" w:bottom="1985" w:left="1588" w:header="851" w:footer="1701" w:gutter="0"/>
      <w:cols w:space="720" w:num="1"/>
      <w:docGrid w:type="linesAndChars" w:linePitch="289"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星仿宋">
    <w:altName w:val="仿宋"/>
    <w:panose1 w:val="00000000000000000000"/>
    <w:charset w:val="00"/>
    <w:family w:val="auto"/>
    <w:pitch w:val="default"/>
    <w:sig w:usb0="00000000" w:usb1="00000000" w:usb2="0000001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ind w:left="420" w:leftChars="200" w:right="420" w:rightChars="200"/>
      <w:jc w:val="center"/>
      <w:rPr>
        <w:rStyle w:val="10"/>
        <w:sz w:val="28"/>
      </w:rPr>
    </w:pPr>
    <w:r>
      <w:rPr>
        <w:rStyle w:val="10"/>
        <w:rFonts w:hint="eastAsia"/>
        <w:sz w:val="28"/>
      </w:rPr>
      <w:t>—</w:t>
    </w:r>
    <w:r>
      <w:rPr>
        <w:rStyle w:val="10"/>
        <w:sz w:val="28"/>
      </w:rPr>
      <w:t xml:space="preserve"> </w:t>
    </w:r>
    <w:r>
      <w:rPr>
        <w:rFonts w:ascii="Times New Roman" w:hAnsi="Times New Roman"/>
        <w:sz w:val="28"/>
      </w:rPr>
      <w:fldChar w:fldCharType="begin"/>
    </w:r>
    <w:r>
      <w:rPr>
        <w:rStyle w:val="10"/>
        <w:rFonts w:ascii="Times New Roman" w:hAnsi="Times New Roman"/>
        <w:sz w:val="28"/>
      </w:rPr>
      <w:instrText xml:space="preserve">PAGE  </w:instrText>
    </w:r>
    <w:r>
      <w:rPr>
        <w:rFonts w:ascii="Times New Roman" w:hAnsi="Times New Roman"/>
        <w:sz w:val="28"/>
      </w:rPr>
      <w:fldChar w:fldCharType="separate"/>
    </w:r>
    <w:r>
      <w:rPr>
        <w:rStyle w:val="10"/>
        <w:rFonts w:ascii="Times New Roman" w:hAnsi="Times New Roman"/>
        <w:sz w:val="28"/>
      </w:rPr>
      <w:t>12</w:t>
    </w:r>
    <w:r>
      <w:rPr>
        <w:rFonts w:ascii="Times New Roman" w:hAnsi="Times New Roman"/>
        <w:sz w:val="28"/>
      </w:rPr>
      <w:fldChar w:fldCharType="end"/>
    </w:r>
    <w:r>
      <w:rPr>
        <w:rStyle w:val="10"/>
        <w:sz w:val="28"/>
      </w:rPr>
      <w:t xml:space="preserve"> </w:t>
    </w:r>
    <w:r>
      <w:rPr>
        <w:rStyle w:val="10"/>
        <w:rFonts w:hint="eastAsia"/>
        <w:sz w:val="28"/>
      </w:rPr>
      <w:t>—</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0"/>
      </w:rPr>
    </w:pPr>
    <w:r>
      <w:fldChar w:fldCharType="begin"/>
    </w:r>
    <w:r>
      <w:rPr>
        <w:rStyle w:val="10"/>
      </w:rPr>
      <w:instrText xml:space="preserve">PAGE  </w:instrText>
    </w:r>
    <w:r>
      <w:fldChar w:fldCharType="end"/>
    </w:r>
  </w:p>
  <w:p>
    <w:pPr>
      <w:pStyle w:val="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201"/>
  <w:drawingGridVerticalSpacing w:val="289"/>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wMzk0YTNmOTEwYzJjM2U3NzNmMTczYWNhOTU0MmYifQ=="/>
  </w:docVars>
  <w:rsids>
    <w:rsidRoot w:val="0052186E"/>
    <w:rsid w:val="000007A8"/>
    <w:rsid w:val="000044C7"/>
    <w:rsid w:val="000068A5"/>
    <w:rsid w:val="0003738B"/>
    <w:rsid w:val="00071623"/>
    <w:rsid w:val="000E2D13"/>
    <w:rsid w:val="00143BAA"/>
    <w:rsid w:val="00184D7D"/>
    <w:rsid w:val="001C2AA4"/>
    <w:rsid w:val="001C3B43"/>
    <w:rsid w:val="002B4F82"/>
    <w:rsid w:val="002E5E1B"/>
    <w:rsid w:val="002F11DA"/>
    <w:rsid w:val="002F6A2E"/>
    <w:rsid w:val="00326547"/>
    <w:rsid w:val="00332DE1"/>
    <w:rsid w:val="00334EA9"/>
    <w:rsid w:val="00344D03"/>
    <w:rsid w:val="003454CF"/>
    <w:rsid w:val="00346591"/>
    <w:rsid w:val="0036674E"/>
    <w:rsid w:val="003811AD"/>
    <w:rsid w:val="003878F5"/>
    <w:rsid w:val="003A0B3A"/>
    <w:rsid w:val="003A6D76"/>
    <w:rsid w:val="003B4936"/>
    <w:rsid w:val="003C2B8E"/>
    <w:rsid w:val="003D411B"/>
    <w:rsid w:val="0040798F"/>
    <w:rsid w:val="00423112"/>
    <w:rsid w:val="00461DA6"/>
    <w:rsid w:val="00470219"/>
    <w:rsid w:val="00475655"/>
    <w:rsid w:val="00475EA0"/>
    <w:rsid w:val="004D08EE"/>
    <w:rsid w:val="0052186E"/>
    <w:rsid w:val="00573751"/>
    <w:rsid w:val="00577ED3"/>
    <w:rsid w:val="005A520C"/>
    <w:rsid w:val="005C2FB4"/>
    <w:rsid w:val="00600D6F"/>
    <w:rsid w:val="006060B6"/>
    <w:rsid w:val="00643EF8"/>
    <w:rsid w:val="006463F7"/>
    <w:rsid w:val="00672D83"/>
    <w:rsid w:val="00686D91"/>
    <w:rsid w:val="006D1237"/>
    <w:rsid w:val="00712D3A"/>
    <w:rsid w:val="007276F9"/>
    <w:rsid w:val="007318B6"/>
    <w:rsid w:val="00731E55"/>
    <w:rsid w:val="00752846"/>
    <w:rsid w:val="00763B0E"/>
    <w:rsid w:val="00773454"/>
    <w:rsid w:val="00777D65"/>
    <w:rsid w:val="00781034"/>
    <w:rsid w:val="007A0114"/>
    <w:rsid w:val="007A2640"/>
    <w:rsid w:val="007B01A3"/>
    <w:rsid w:val="007B1EDA"/>
    <w:rsid w:val="007C6740"/>
    <w:rsid w:val="007D2F1D"/>
    <w:rsid w:val="00846D11"/>
    <w:rsid w:val="0085493B"/>
    <w:rsid w:val="00873B40"/>
    <w:rsid w:val="008914FD"/>
    <w:rsid w:val="008D6530"/>
    <w:rsid w:val="008E29A0"/>
    <w:rsid w:val="008F2448"/>
    <w:rsid w:val="00912EC7"/>
    <w:rsid w:val="00942266"/>
    <w:rsid w:val="00963484"/>
    <w:rsid w:val="009920BF"/>
    <w:rsid w:val="0099656B"/>
    <w:rsid w:val="009C102D"/>
    <w:rsid w:val="009C116B"/>
    <w:rsid w:val="009F78DD"/>
    <w:rsid w:val="009F7972"/>
    <w:rsid w:val="00A36258"/>
    <w:rsid w:val="00A91468"/>
    <w:rsid w:val="00AA3F8A"/>
    <w:rsid w:val="00AA64D3"/>
    <w:rsid w:val="00AC3CF4"/>
    <w:rsid w:val="00AE4B3F"/>
    <w:rsid w:val="00AE656A"/>
    <w:rsid w:val="00B123FE"/>
    <w:rsid w:val="00B70BCD"/>
    <w:rsid w:val="00B770E9"/>
    <w:rsid w:val="00B93140"/>
    <w:rsid w:val="00BA35B4"/>
    <w:rsid w:val="00BC6067"/>
    <w:rsid w:val="00C22CEC"/>
    <w:rsid w:val="00C2526A"/>
    <w:rsid w:val="00CC42BE"/>
    <w:rsid w:val="00CE2267"/>
    <w:rsid w:val="00CE76C4"/>
    <w:rsid w:val="00D000FF"/>
    <w:rsid w:val="00D173C2"/>
    <w:rsid w:val="00D40E94"/>
    <w:rsid w:val="00D424BC"/>
    <w:rsid w:val="00D43624"/>
    <w:rsid w:val="00D44E9D"/>
    <w:rsid w:val="00D64A77"/>
    <w:rsid w:val="00D8625C"/>
    <w:rsid w:val="00DB7FA1"/>
    <w:rsid w:val="00DD768C"/>
    <w:rsid w:val="00DF3F9F"/>
    <w:rsid w:val="00E133B8"/>
    <w:rsid w:val="00E2093B"/>
    <w:rsid w:val="00E31F62"/>
    <w:rsid w:val="00E67E23"/>
    <w:rsid w:val="00E74110"/>
    <w:rsid w:val="00EA0D44"/>
    <w:rsid w:val="00EA77DD"/>
    <w:rsid w:val="00EB3529"/>
    <w:rsid w:val="00F13242"/>
    <w:rsid w:val="00F23CEA"/>
    <w:rsid w:val="00F35D3F"/>
    <w:rsid w:val="00F410DE"/>
    <w:rsid w:val="00F61E7C"/>
    <w:rsid w:val="00FB20E7"/>
    <w:rsid w:val="32CF280D"/>
    <w:rsid w:val="3C677A62"/>
    <w:rsid w:val="3DCD7B9A"/>
    <w:rsid w:val="3E5E2218"/>
    <w:rsid w:val="3F5E8E5A"/>
    <w:rsid w:val="5563505A"/>
    <w:rsid w:val="67B19DFB"/>
    <w:rsid w:val="7111366F"/>
    <w:rsid w:val="77BF04A3"/>
    <w:rsid w:val="77BF4ED3"/>
    <w:rsid w:val="7AE4FE1A"/>
    <w:rsid w:val="7B1BB43D"/>
    <w:rsid w:val="7B7E5465"/>
    <w:rsid w:val="7BEF9A63"/>
    <w:rsid w:val="7BFF86E1"/>
    <w:rsid w:val="7DE6BAE2"/>
    <w:rsid w:val="7DFFFE4B"/>
    <w:rsid w:val="7F7CC00F"/>
    <w:rsid w:val="9AC6CFFC"/>
    <w:rsid w:val="A4514F17"/>
    <w:rsid w:val="A7F35948"/>
    <w:rsid w:val="B9EAC4E9"/>
    <w:rsid w:val="BCDE2957"/>
    <w:rsid w:val="C7CC42AD"/>
    <w:rsid w:val="D55C01CE"/>
    <w:rsid w:val="DEDE85EF"/>
    <w:rsid w:val="EEE82922"/>
    <w:rsid w:val="EFBFEE19"/>
    <w:rsid w:val="F3FE2F7B"/>
    <w:rsid w:val="FB7F1F9B"/>
    <w:rsid w:val="FD9E1EF7"/>
    <w:rsid w:val="FFE53859"/>
    <w:rsid w:val="FFEF7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link w:val="12"/>
    <w:qFormat/>
    <w:uiPriority w:val="0"/>
    <w:rPr>
      <w:rFonts w:eastAsia="文星仿宋"/>
      <w:sz w:val="32"/>
    </w:rPr>
  </w:style>
  <w:style w:type="paragraph" w:styleId="3">
    <w:name w:val="Body Text Indent"/>
    <w:basedOn w:val="1"/>
    <w:qFormat/>
    <w:uiPriority w:val="0"/>
    <w:pPr>
      <w:ind w:firstLine="720" w:firstLineChars="225"/>
    </w:pPr>
    <w:rPr>
      <w:sz w:val="32"/>
      <w:szCs w:val="20"/>
    </w:rPr>
  </w:style>
  <w:style w:type="paragraph" w:styleId="4">
    <w:name w:val="Date"/>
    <w:basedOn w:val="1"/>
    <w:next w:val="1"/>
    <w:uiPriority w:val="0"/>
    <w:pPr>
      <w:ind w:left="100" w:leftChars="2500"/>
    </w:pPr>
  </w:style>
  <w:style w:type="paragraph" w:styleId="5">
    <w:name w:val="Balloon Text"/>
    <w:basedOn w:val="1"/>
    <w:semiHidden/>
    <w:uiPriority w:val="0"/>
    <w:rPr>
      <w:sz w:val="18"/>
      <w:szCs w:val="18"/>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0"/>
  </w:style>
  <w:style w:type="character" w:styleId="11">
    <w:name w:val="Hyperlink"/>
    <w:uiPriority w:val="0"/>
    <w:rPr>
      <w:color w:val="0000FF"/>
      <w:u w:val="single"/>
    </w:rPr>
  </w:style>
  <w:style w:type="character" w:customStyle="1" w:styleId="12">
    <w:name w:val="正文文本 Char"/>
    <w:link w:val="2"/>
    <w:qFormat/>
    <w:uiPriority w:val="0"/>
    <w:rPr>
      <w:rFonts w:eastAsia="文星仿宋"/>
      <w:kern w:val="2"/>
      <w:sz w:val="32"/>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tjszf</Company>
  <Pages>12</Pages>
  <Words>969</Words>
  <Characters>5529</Characters>
  <Lines>46</Lines>
  <Paragraphs>12</Paragraphs>
  <TotalTime>0</TotalTime>
  <ScaleCrop>false</ScaleCrop>
  <LinksUpToDate>false</LinksUpToDate>
  <CharactersWithSpaces>6486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2020-01-13T23:58:00Z</dcterms:created>
  <dc:creator>jsj</dc:creator>
  <cp:lastModifiedBy> Chloe堂姐</cp:lastModifiedBy>
  <cp:lastPrinted>2025-03-18T07:45:00Z</cp:lastPrinted>
  <dcterms:modified xsi:type="dcterms:W3CDTF">2025-03-27T07:32:47Z</dcterms:modified>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6FA57AADF9FA4582BDE91B37BBA0E609_13</vt:lpwstr>
  </property>
</Properties>
</file>