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center"/>
        <w:rPr>
          <w:rFonts w:eastAsia="仿宋_GB2312"/>
          <w:szCs w:val="32"/>
        </w:rPr>
      </w:pPr>
    </w:p>
    <w:p>
      <w:pPr>
        <w:pStyle w:val="2"/>
        <w:snapToGrid w:val="0"/>
        <w:jc w:val="center"/>
        <w:rPr>
          <w:rStyle w:val="12"/>
          <w:rFonts w:hint="eastAsia" w:ascii="方正小标宋简体" w:hAnsi="方正小标宋_GBK" w:eastAsia="方正小标宋简体" w:cs="方正小标宋_GBK"/>
          <w:color w:val="auto"/>
          <w:sz w:val="44"/>
          <w:szCs w:val="44"/>
          <w:u w:val="none"/>
        </w:rPr>
      </w:pPr>
      <w:r>
        <w:rPr>
          <w:rStyle w:val="12"/>
          <w:rFonts w:hint="eastAsia" w:ascii="方正小标宋简体" w:hAnsi="方正小标宋_GBK" w:eastAsia="方正小标宋简体" w:cs="方正小标宋_GBK"/>
          <w:color w:val="auto"/>
          <w:sz w:val="44"/>
          <w:szCs w:val="44"/>
          <w:u w:val="none"/>
        </w:rPr>
        <w:t>天津市人民政府办公厅关于</w:t>
      </w:r>
    </w:p>
    <w:p>
      <w:pPr>
        <w:pStyle w:val="2"/>
        <w:snapToGrid w:val="0"/>
        <w:jc w:val="center"/>
        <w:rPr>
          <w:rStyle w:val="12"/>
          <w:rFonts w:hint="eastAsia" w:ascii="方正小标宋简体" w:hAnsi="方正小标宋_GBK" w:eastAsia="方正小标宋简体" w:cs="方正小标宋_GBK"/>
          <w:color w:val="auto"/>
          <w:sz w:val="44"/>
          <w:szCs w:val="44"/>
          <w:u w:val="none"/>
        </w:rPr>
      </w:pPr>
      <w:r>
        <w:rPr>
          <w:rStyle w:val="12"/>
          <w:rFonts w:hint="eastAsia" w:ascii="方正小标宋简体" w:hAnsi="方正小标宋_GBK" w:eastAsia="方正小标宋简体" w:cs="方正小标宋_GBK"/>
          <w:color w:val="auto"/>
          <w:sz w:val="44"/>
          <w:szCs w:val="44"/>
          <w:u w:val="none"/>
        </w:rPr>
        <w:t>印发天津市人民政府2026年度重大</w:t>
      </w:r>
    </w:p>
    <w:p>
      <w:pPr>
        <w:pStyle w:val="2"/>
        <w:snapToGrid w:val="0"/>
        <w:jc w:val="center"/>
        <w:rPr>
          <w:rStyle w:val="12"/>
          <w:rFonts w:ascii="方正小标宋_GBK" w:hAnsi="方正小标宋_GBK" w:eastAsia="方正小标宋_GBK" w:cs="方正小标宋_GBK"/>
          <w:color w:val="auto"/>
          <w:sz w:val="44"/>
          <w:szCs w:val="44"/>
          <w:u w:val="none"/>
        </w:rPr>
      </w:pPr>
      <w:r>
        <w:rPr>
          <w:rStyle w:val="12"/>
          <w:rFonts w:hint="eastAsia" w:ascii="方正小标宋简体" w:hAnsi="方正小标宋_GBK" w:eastAsia="方正小标宋简体" w:cs="方正小标宋_GBK"/>
          <w:color w:val="auto"/>
          <w:sz w:val="44"/>
          <w:szCs w:val="44"/>
          <w:u w:val="none"/>
        </w:rPr>
        <w:t>行政决策事项目录的通知</w:t>
      </w:r>
    </w:p>
    <w:p>
      <w:pPr>
        <w:pStyle w:val="2"/>
        <w:rPr>
          <w:rFonts w:ascii="仿宋_GB2312" w:hAnsi="仿宋_GB2312" w:eastAsia="仿宋_GB2312" w:cs="仿宋_GB2312"/>
          <w:szCs w:val="32"/>
        </w:rPr>
      </w:pPr>
    </w:p>
    <w:p>
      <w:pPr>
        <w:pStyle w:val="2"/>
        <w:rPr>
          <w:rFonts w:ascii="仿宋_GB2312" w:eastAsia="仿宋_GB2312"/>
        </w:rPr>
      </w:pPr>
      <w:r>
        <w:rPr>
          <w:rFonts w:hint="eastAsia" w:ascii="仿宋_GB2312" w:eastAsia="仿宋_GB2312"/>
        </w:rPr>
        <w:t>各区人民政府，市政府各委、办、局：</w:t>
      </w:r>
    </w:p>
    <w:p>
      <w:pPr>
        <w:pStyle w:val="2"/>
        <w:ind w:firstLine="612" w:firstLineChars="196"/>
        <w:rPr>
          <w:rFonts w:eastAsia="仿宋_GB2312"/>
          <w:szCs w:val="32"/>
        </w:rPr>
      </w:pPr>
      <w:r>
        <w:rPr>
          <w:rFonts w:hint="eastAsia" w:eastAsia="仿宋_GB2312"/>
          <w:szCs w:val="32"/>
        </w:rPr>
        <w:t>为进一步规范重大行政决策行为，推进科学决策、民主决策、依法决策，根据《重大行政决策程序暂行条例》、《天津市重大行政决策程序规定》、《天津市重大行政决策事项目录管理办法》等有关规定，经市委、市政府同意，现将《天津市人民政府2026年度重大行政决策事项目录》印发给你们，并就有关工作通知如下：</w:t>
      </w:r>
    </w:p>
    <w:p>
      <w:pPr>
        <w:pStyle w:val="2"/>
        <w:ind w:firstLine="612" w:firstLineChars="196"/>
        <w:rPr>
          <w:rFonts w:eastAsia="仿宋_GB2312"/>
          <w:szCs w:val="32"/>
        </w:rPr>
      </w:pPr>
      <w:r>
        <w:rPr>
          <w:rFonts w:hint="eastAsia" w:eastAsia="仿宋_GB2312"/>
          <w:szCs w:val="32"/>
        </w:rPr>
        <w:t>一、列入目录的重大行政决策事项，要依法履行公众参与、专家论证、风险评估、合法性审查和集体讨论决定等法定程序。承办单位在提请市政府常务会议集体讨论决定时，应报告履行重大行政决策程序情况。</w:t>
      </w:r>
    </w:p>
    <w:p>
      <w:pPr>
        <w:pStyle w:val="2"/>
        <w:ind w:firstLine="612" w:firstLineChars="196"/>
        <w:rPr>
          <w:rFonts w:eastAsia="仿宋_GB2312"/>
          <w:szCs w:val="32"/>
        </w:rPr>
      </w:pPr>
      <w:r>
        <w:rPr>
          <w:rFonts w:hint="eastAsia" w:eastAsia="仿宋_GB2312"/>
          <w:szCs w:val="32"/>
        </w:rPr>
        <w:t>二、根据市委、市政府年度重点工作任务的实际情况，确需对目录进行调整的，决策事项承办单位要认真研究论证，提出调整建议，按程序报经批准后调整。</w:t>
      </w:r>
    </w:p>
    <w:p>
      <w:pPr>
        <w:pStyle w:val="2"/>
        <w:ind w:firstLine="612" w:firstLineChars="196"/>
        <w:rPr>
          <w:rFonts w:eastAsia="仿宋_GB2312"/>
          <w:szCs w:val="32"/>
        </w:rPr>
      </w:pPr>
      <w:r>
        <w:rPr>
          <w:rFonts w:hint="eastAsia" w:eastAsia="仿宋_GB2312"/>
          <w:szCs w:val="32"/>
        </w:rPr>
        <w:t>三、承办单位要认真组织实施，落实责任分工，把握时间节点，确保按时完成。承办单位应当在重大行政决策作出后30日内向市政府办公厅移交相关材料。</w:t>
      </w:r>
    </w:p>
    <w:p>
      <w:pPr>
        <w:pStyle w:val="2"/>
        <w:rPr>
          <w:rFonts w:eastAsia="仿宋_GB2312"/>
          <w:szCs w:val="32"/>
        </w:rPr>
      </w:pPr>
    </w:p>
    <w:p>
      <w:pPr>
        <w:pStyle w:val="2"/>
        <w:keepNext w:val="0"/>
        <w:keepLines w:val="0"/>
        <w:pageBreakBefore w:val="0"/>
        <w:widowControl w:val="0"/>
        <w:kinsoku/>
        <w:overflowPunct/>
        <w:topLinePunct w:val="0"/>
        <w:autoSpaceDE/>
        <w:autoSpaceDN/>
        <w:bidi w:val="0"/>
        <w:adjustRightInd/>
        <w:snapToGrid/>
        <w:spacing w:line="360" w:lineRule="auto"/>
        <w:jc w:val="center"/>
        <w:textAlignment w:val="auto"/>
        <w:rPr>
          <w:rFonts w:hint="default" w:ascii="Times New Roman" w:hAnsi="Times New Roman" w:eastAsia="仿宋_GB2312"/>
          <w:szCs w:val="32"/>
          <w:lang w:val="en-US" w:eastAsia="zh-CN"/>
        </w:rPr>
      </w:pPr>
      <w:r>
        <w:rPr>
          <w:rFonts w:hint="eastAsia" w:eastAsia="仿宋_GB2312"/>
          <w:szCs w:val="32"/>
          <w:lang w:val="en-US" w:eastAsia="zh-CN"/>
        </w:rPr>
        <w:t xml:space="preserve">          </w:t>
      </w:r>
      <w:r>
        <w:rPr>
          <w:rFonts w:hint="eastAsia" w:ascii="Times New Roman" w:hAnsi="Times New Roman" w:eastAsia="仿宋_GB2312"/>
          <w:szCs w:val="32"/>
          <w:lang w:val="en-US" w:eastAsia="zh-CN"/>
        </w:rPr>
        <w:t xml:space="preserve"> </w:t>
      </w:r>
      <w:r>
        <w:rPr>
          <w:rFonts w:hint="eastAsia" w:eastAsia="仿宋_GB2312"/>
          <w:szCs w:val="32"/>
          <w:lang w:val="en-US" w:eastAsia="zh-CN"/>
        </w:rPr>
        <w:t xml:space="preserve">          </w:t>
      </w:r>
      <w:r>
        <w:rPr>
          <w:rFonts w:hint="eastAsia" w:ascii="Times New Roman" w:hAnsi="Times New Roman" w:eastAsia="仿宋_GB2312"/>
          <w:szCs w:val="32"/>
          <w:lang w:val="en-US" w:eastAsia="zh-CN"/>
        </w:rPr>
        <w:t>天津市人民政府办公厅</w:t>
      </w:r>
    </w:p>
    <w:p>
      <w:pPr>
        <w:pStyle w:val="2"/>
        <w:wordWrap w:val="0"/>
        <w:ind w:firstLine="4992" w:firstLineChars="1600"/>
        <w:jc w:val="both"/>
        <w:rPr>
          <w:rFonts w:eastAsia="仿宋_GB2312"/>
          <w:szCs w:val="32"/>
        </w:rPr>
      </w:pPr>
      <w:r>
        <w:rPr>
          <w:rFonts w:eastAsia="仿宋_GB2312"/>
          <w:szCs w:val="32"/>
        </w:rPr>
        <w:t>2026</w:t>
      </w:r>
      <w:r>
        <w:rPr>
          <w:rFonts w:hint="eastAsia" w:eastAsia="仿宋_GB2312"/>
          <w:szCs w:val="32"/>
        </w:rPr>
        <w:t xml:space="preserve">年3月25日    </w:t>
      </w:r>
    </w:p>
    <w:p>
      <w:pPr>
        <w:pStyle w:val="2"/>
        <w:rPr>
          <w:rFonts w:eastAsia="仿宋_GB2312"/>
          <w:szCs w:val="32"/>
        </w:rPr>
        <w:sectPr>
          <w:headerReference r:id="rId3" w:type="default"/>
          <w:footerReference r:id="rId4" w:type="default"/>
          <w:footerReference r:id="rId5" w:type="even"/>
          <w:pgSz w:w="11907" w:h="16840"/>
          <w:pgMar w:top="2098" w:right="1474" w:bottom="1984" w:left="1587" w:header="851" w:footer="1701" w:gutter="0"/>
          <w:cols w:space="720" w:num="1"/>
          <w:docGrid w:type="linesAndChars" w:linePitch="289" w:charSpace="-1839"/>
        </w:sectPr>
      </w:pPr>
      <w:r>
        <w:rPr>
          <w:rFonts w:hint="eastAsia" w:eastAsia="仿宋_GB2312"/>
          <w:szCs w:val="32"/>
        </w:rPr>
        <w:t xml:space="preserve">    （此件主动公开）</w:t>
      </w:r>
    </w:p>
    <w:p>
      <w:pPr>
        <w:pStyle w:val="2"/>
        <w:snapToGrid w:val="0"/>
        <w:jc w:val="center"/>
        <w:rPr>
          <w:rStyle w:val="12"/>
          <w:rFonts w:hint="eastAsia" w:ascii="方正小标宋简体" w:hAnsi="方正小标宋_GBK" w:eastAsia="方正小标宋简体" w:cs="方正小标宋_GBK"/>
          <w:color w:val="auto"/>
          <w:kern w:val="2"/>
          <w:sz w:val="44"/>
          <w:szCs w:val="44"/>
          <w:u w:val="none"/>
          <w:lang w:val="en" w:eastAsia="zh-CN" w:bidi="ar-SA"/>
        </w:rPr>
      </w:pPr>
      <w:bookmarkStart w:id="0" w:name="_GoBack"/>
      <w:r>
        <w:rPr>
          <w:rStyle w:val="12"/>
          <w:rFonts w:hint="eastAsia" w:ascii="方正小标宋简体" w:hAnsi="方正小标宋_GBK" w:eastAsia="方正小标宋简体" w:cs="方正小标宋_GBK"/>
          <w:color w:val="auto"/>
          <w:kern w:val="2"/>
          <w:sz w:val="44"/>
          <w:szCs w:val="44"/>
          <w:u w:val="none"/>
          <w:lang w:val="en" w:eastAsia="zh-CN" w:bidi="ar-SA"/>
        </w:rPr>
        <w:t>天津市人民政府2026年度</w:t>
      </w:r>
    </w:p>
    <w:p>
      <w:pPr>
        <w:pStyle w:val="2"/>
        <w:snapToGrid w:val="0"/>
        <w:jc w:val="center"/>
        <w:rPr>
          <w:rStyle w:val="12"/>
          <w:rFonts w:hint="eastAsia" w:ascii="方正小标宋简体" w:hAnsi="方正小标宋_GBK" w:eastAsia="方正小标宋简体" w:cs="方正小标宋_GBK"/>
          <w:color w:val="auto"/>
          <w:kern w:val="2"/>
          <w:sz w:val="44"/>
          <w:szCs w:val="44"/>
          <w:lang w:val="en" w:eastAsia="zh-CN" w:bidi="ar-SA"/>
        </w:rPr>
      </w:pPr>
      <w:r>
        <w:rPr>
          <w:rStyle w:val="12"/>
          <w:rFonts w:hint="eastAsia" w:ascii="方正小标宋简体" w:hAnsi="方正小标宋_GBK" w:eastAsia="方正小标宋简体" w:cs="方正小标宋_GBK"/>
          <w:color w:val="auto"/>
          <w:kern w:val="2"/>
          <w:sz w:val="44"/>
          <w:szCs w:val="44"/>
          <w:u w:val="none"/>
          <w:lang w:val="en" w:eastAsia="zh-CN" w:bidi="ar-SA"/>
        </w:rPr>
        <w:t>重大行政决策事项目录</w:t>
      </w:r>
      <w:bookmarkEnd w:id="0"/>
    </w:p>
    <w:p>
      <w:pPr>
        <w:pStyle w:val="2"/>
        <w:jc w:val="center"/>
        <w:rPr>
          <w:rFonts w:eastAsia="仿宋_GB2312"/>
          <w:szCs w:val="32"/>
        </w:rPr>
      </w:pP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4"/>
        <w:gridCol w:w="6191"/>
        <w:gridCol w:w="1844"/>
        <w:gridCol w:w="13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1" w:hRule="atLeast"/>
          <w:tblHeader/>
          <w:jc w:val="center"/>
        </w:trPr>
        <w:tc>
          <w:tcPr>
            <w:tcW w:w="764" w:type="dxa"/>
            <w:shd w:val="clear" w:color="auto" w:fill="auto"/>
            <w:vAlign w:val="center"/>
          </w:tcPr>
          <w:p>
            <w:pPr>
              <w:spacing w:line="0" w:lineRule="atLeast"/>
              <w:jc w:val="center"/>
              <w:rPr>
                <w:rFonts w:eastAsia="黑体" w:cs="黑体"/>
                <w:sz w:val="28"/>
                <w:szCs w:val="28"/>
              </w:rPr>
            </w:pPr>
            <w:r>
              <w:rPr>
                <w:rFonts w:hint="eastAsia" w:eastAsia="黑体" w:cs="黑体"/>
                <w:sz w:val="28"/>
                <w:szCs w:val="28"/>
              </w:rPr>
              <w:t>序号</w:t>
            </w:r>
          </w:p>
        </w:tc>
        <w:tc>
          <w:tcPr>
            <w:tcW w:w="6191" w:type="dxa"/>
            <w:shd w:val="clear" w:color="auto" w:fill="auto"/>
            <w:vAlign w:val="center"/>
          </w:tcPr>
          <w:p>
            <w:pPr>
              <w:spacing w:line="0" w:lineRule="atLeast"/>
              <w:jc w:val="center"/>
              <w:rPr>
                <w:rFonts w:eastAsia="黑体" w:cs="黑体"/>
                <w:sz w:val="28"/>
                <w:szCs w:val="28"/>
              </w:rPr>
            </w:pPr>
            <w:r>
              <w:rPr>
                <w:rFonts w:hint="eastAsia" w:eastAsia="黑体" w:cs="黑体"/>
                <w:sz w:val="28"/>
                <w:szCs w:val="28"/>
              </w:rPr>
              <w:t>决策事项名称</w:t>
            </w:r>
          </w:p>
        </w:tc>
        <w:tc>
          <w:tcPr>
            <w:tcW w:w="1844" w:type="dxa"/>
            <w:shd w:val="clear" w:color="auto" w:fill="auto"/>
            <w:vAlign w:val="center"/>
          </w:tcPr>
          <w:p>
            <w:pPr>
              <w:spacing w:line="0" w:lineRule="atLeast"/>
              <w:jc w:val="center"/>
              <w:rPr>
                <w:rFonts w:eastAsia="黑体" w:cs="黑体"/>
                <w:sz w:val="28"/>
                <w:szCs w:val="28"/>
              </w:rPr>
            </w:pPr>
            <w:r>
              <w:rPr>
                <w:rFonts w:hint="eastAsia" w:eastAsia="黑体" w:cs="黑体"/>
                <w:sz w:val="28"/>
                <w:szCs w:val="28"/>
              </w:rPr>
              <w:t>承办单位</w:t>
            </w:r>
          </w:p>
        </w:tc>
        <w:tc>
          <w:tcPr>
            <w:tcW w:w="1352" w:type="dxa"/>
            <w:shd w:val="clear" w:color="auto" w:fill="auto"/>
            <w:vAlign w:val="center"/>
          </w:tcPr>
          <w:p>
            <w:pPr>
              <w:spacing w:line="0" w:lineRule="atLeast"/>
              <w:jc w:val="center"/>
              <w:rPr>
                <w:rFonts w:eastAsia="黑体" w:cs="黑体"/>
                <w:sz w:val="28"/>
                <w:szCs w:val="28"/>
              </w:rPr>
            </w:pPr>
            <w:r>
              <w:rPr>
                <w:rFonts w:hint="eastAsia" w:eastAsia="黑体" w:cs="黑体"/>
                <w:sz w:val="28"/>
                <w:szCs w:val="28"/>
              </w:rPr>
              <w:t>时间安排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42" w:hRule="atLeast"/>
          <w:jc w:val="center"/>
        </w:trPr>
        <w:tc>
          <w:tcPr>
            <w:tcW w:w="764" w:type="dxa"/>
            <w:shd w:val="clear" w:color="auto" w:fill="auto"/>
            <w:vAlign w:val="center"/>
          </w:tcPr>
          <w:p>
            <w:pPr>
              <w:pStyle w:val="2"/>
              <w:spacing w:line="0" w:lineRule="atLeast"/>
              <w:jc w:val="center"/>
              <w:rPr>
                <w:rFonts w:eastAsia="仿宋_GB2312" w:cs="仿宋_GB2312"/>
                <w:sz w:val="28"/>
                <w:szCs w:val="28"/>
              </w:rPr>
            </w:pPr>
            <w:r>
              <w:rPr>
                <w:rFonts w:hint="eastAsia" w:eastAsia="仿宋_GB2312" w:cs="仿宋_GB2312"/>
                <w:sz w:val="28"/>
                <w:szCs w:val="28"/>
              </w:rPr>
              <w:t>1</w:t>
            </w:r>
          </w:p>
        </w:tc>
        <w:tc>
          <w:tcPr>
            <w:tcW w:w="6191" w:type="dxa"/>
            <w:shd w:val="clear" w:color="auto" w:fill="auto"/>
            <w:vAlign w:val="center"/>
          </w:tcPr>
          <w:p>
            <w:pPr>
              <w:pStyle w:val="2"/>
              <w:spacing w:line="0" w:lineRule="atLeast"/>
              <w:jc w:val="center"/>
              <w:rPr>
                <w:rFonts w:eastAsia="仿宋_GB2312" w:cs="仿宋_GB2312"/>
                <w:sz w:val="28"/>
                <w:szCs w:val="28"/>
              </w:rPr>
            </w:pPr>
            <w:r>
              <w:rPr>
                <w:rFonts w:hint="eastAsia" w:eastAsia="仿宋_GB2312" w:cs="仿宋_GB2312"/>
                <w:sz w:val="28"/>
                <w:szCs w:val="28"/>
              </w:rPr>
              <w:t>制定天津市新建商品房预售资金监管办法</w:t>
            </w:r>
          </w:p>
        </w:tc>
        <w:tc>
          <w:tcPr>
            <w:tcW w:w="1844" w:type="dxa"/>
            <w:shd w:val="clear" w:color="auto" w:fill="auto"/>
            <w:vAlign w:val="center"/>
          </w:tcPr>
          <w:p>
            <w:pPr>
              <w:pStyle w:val="2"/>
              <w:spacing w:line="0" w:lineRule="atLeast"/>
              <w:jc w:val="center"/>
              <w:rPr>
                <w:rFonts w:eastAsia="仿宋_GB2312" w:cs="仿宋_GB2312"/>
                <w:sz w:val="28"/>
                <w:szCs w:val="28"/>
              </w:rPr>
            </w:pPr>
            <w:r>
              <w:rPr>
                <w:rFonts w:hint="eastAsia" w:eastAsia="仿宋_GB2312" w:cs="仿宋_GB2312"/>
                <w:sz w:val="28"/>
                <w:szCs w:val="28"/>
              </w:rPr>
              <w:t>市住房城乡</w:t>
            </w:r>
          </w:p>
          <w:p>
            <w:pPr>
              <w:pStyle w:val="2"/>
              <w:spacing w:line="0" w:lineRule="atLeast"/>
              <w:jc w:val="center"/>
              <w:rPr>
                <w:rFonts w:eastAsia="仿宋_GB2312" w:cs="仿宋_GB2312"/>
                <w:sz w:val="28"/>
                <w:szCs w:val="28"/>
              </w:rPr>
            </w:pPr>
            <w:r>
              <w:rPr>
                <w:rFonts w:hint="eastAsia" w:eastAsia="仿宋_GB2312" w:cs="仿宋_GB2312"/>
                <w:sz w:val="28"/>
                <w:szCs w:val="28"/>
              </w:rPr>
              <w:t>建设委</w:t>
            </w:r>
          </w:p>
        </w:tc>
        <w:tc>
          <w:tcPr>
            <w:tcW w:w="1352" w:type="dxa"/>
            <w:shd w:val="clear" w:color="auto" w:fill="auto"/>
            <w:vAlign w:val="center"/>
          </w:tcPr>
          <w:p>
            <w:pPr>
              <w:pStyle w:val="2"/>
              <w:spacing w:line="0" w:lineRule="atLeast"/>
              <w:jc w:val="center"/>
              <w:rPr>
                <w:rFonts w:eastAsia="仿宋_GB2312" w:cs="仿宋_GB2312"/>
                <w:sz w:val="28"/>
                <w:szCs w:val="28"/>
              </w:rPr>
            </w:pPr>
            <w:r>
              <w:rPr>
                <w:rFonts w:hint="eastAsia" w:eastAsia="仿宋_GB2312" w:cs="仿宋_GB2312"/>
                <w:sz w:val="28"/>
                <w:szCs w:val="28"/>
              </w:rPr>
              <w:t>7月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42" w:hRule="atLeast"/>
          <w:jc w:val="center"/>
        </w:trPr>
        <w:tc>
          <w:tcPr>
            <w:tcW w:w="764" w:type="dxa"/>
            <w:shd w:val="clear" w:color="auto" w:fill="auto"/>
            <w:vAlign w:val="center"/>
          </w:tcPr>
          <w:p>
            <w:pPr>
              <w:pStyle w:val="2"/>
              <w:spacing w:line="0" w:lineRule="atLeast"/>
              <w:jc w:val="center"/>
              <w:rPr>
                <w:rFonts w:eastAsia="仿宋_GB2312" w:cs="仿宋_GB2312"/>
                <w:sz w:val="28"/>
                <w:szCs w:val="28"/>
              </w:rPr>
            </w:pPr>
            <w:r>
              <w:rPr>
                <w:rFonts w:hint="eastAsia" w:eastAsia="仿宋_GB2312" w:cs="仿宋_GB2312"/>
                <w:sz w:val="28"/>
                <w:szCs w:val="28"/>
              </w:rPr>
              <w:t>2</w:t>
            </w:r>
          </w:p>
        </w:tc>
        <w:tc>
          <w:tcPr>
            <w:tcW w:w="6191" w:type="dxa"/>
            <w:shd w:val="clear" w:color="auto" w:fill="auto"/>
            <w:vAlign w:val="center"/>
          </w:tcPr>
          <w:p>
            <w:pPr>
              <w:pStyle w:val="2"/>
              <w:spacing w:line="0" w:lineRule="atLeast"/>
              <w:jc w:val="center"/>
              <w:rPr>
                <w:rFonts w:eastAsia="仿宋_GB2312" w:cs="仿宋_GB2312"/>
                <w:sz w:val="28"/>
                <w:szCs w:val="28"/>
              </w:rPr>
            </w:pPr>
            <w:r>
              <w:rPr>
                <w:rFonts w:hint="eastAsia" w:eastAsia="仿宋_GB2312" w:cs="仿宋_GB2312"/>
                <w:sz w:val="28"/>
                <w:szCs w:val="28"/>
              </w:rPr>
              <w:t>制定关于全面建立天津市长期护理保险的实施方案</w:t>
            </w:r>
          </w:p>
        </w:tc>
        <w:tc>
          <w:tcPr>
            <w:tcW w:w="1844" w:type="dxa"/>
            <w:shd w:val="clear" w:color="auto" w:fill="auto"/>
            <w:vAlign w:val="center"/>
          </w:tcPr>
          <w:p>
            <w:pPr>
              <w:pStyle w:val="2"/>
              <w:spacing w:line="0" w:lineRule="atLeast"/>
              <w:jc w:val="center"/>
              <w:rPr>
                <w:rFonts w:eastAsia="仿宋_GB2312" w:cs="仿宋_GB2312"/>
                <w:sz w:val="28"/>
                <w:szCs w:val="28"/>
              </w:rPr>
            </w:pPr>
            <w:r>
              <w:rPr>
                <w:rFonts w:hint="eastAsia" w:eastAsia="仿宋_GB2312" w:cs="仿宋_GB2312"/>
                <w:sz w:val="28"/>
                <w:szCs w:val="28"/>
              </w:rPr>
              <w:t>市医保局</w:t>
            </w:r>
          </w:p>
        </w:tc>
        <w:tc>
          <w:tcPr>
            <w:tcW w:w="1352" w:type="dxa"/>
            <w:shd w:val="clear" w:color="auto" w:fill="auto"/>
            <w:vAlign w:val="center"/>
          </w:tcPr>
          <w:p>
            <w:pPr>
              <w:pStyle w:val="2"/>
              <w:spacing w:line="0" w:lineRule="atLeast"/>
              <w:jc w:val="center"/>
              <w:rPr>
                <w:rFonts w:eastAsia="仿宋_GB2312" w:cs="仿宋_GB2312"/>
                <w:sz w:val="28"/>
                <w:szCs w:val="28"/>
              </w:rPr>
            </w:pPr>
            <w:r>
              <w:rPr>
                <w:rFonts w:hint="eastAsia" w:eastAsia="仿宋_GB2312" w:cs="仿宋_GB2312"/>
                <w:sz w:val="28"/>
                <w:szCs w:val="28"/>
              </w:rPr>
              <w:t>10月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42" w:hRule="atLeast"/>
          <w:jc w:val="center"/>
        </w:trPr>
        <w:tc>
          <w:tcPr>
            <w:tcW w:w="764" w:type="dxa"/>
            <w:shd w:val="clear" w:color="auto" w:fill="auto"/>
            <w:vAlign w:val="center"/>
          </w:tcPr>
          <w:p>
            <w:pPr>
              <w:pStyle w:val="2"/>
              <w:spacing w:line="0" w:lineRule="atLeast"/>
              <w:jc w:val="center"/>
              <w:rPr>
                <w:rFonts w:eastAsia="仿宋_GB2312" w:cs="仿宋_GB2312"/>
                <w:sz w:val="28"/>
                <w:szCs w:val="28"/>
              </w:rPr>
            </w:pPr>
            <w:r>
              <w:rPr>
                <w:rFonts w:hint="eastAsia" w:eastAsia="仿宋_GB2312" w:cs="仿宋_GB2312"/>
                <w:sz w:val="28"/>
                <w:szCs w:val="28"/>
              </w:rPr>
              <w:t>3</w:t>
            </w:r>
          </w:p>
        </w:tc>
        <w:tc>
          <w:tcPr>
            <w:tcW w:w="6191" w:type="dxa"/>
            <w:shd w:val="clear" w:color="auto" w:fill="auto"/>
            <w:vAlign w:val="center"/>
          </w:tcPr>
          <w:p>
            <w:pPr>
              <w:pStyle w:val="2"/>
              <w:spacing w:line="0" w:lineRule="atLeast"/>
              <w:jc w:val="center"/>
              <w:rPr>
                <w:rFonts w:eastAsia="仿宋_GB2312" w:cs="仿宋_GB2312"/>
                <w:sz w:val="28"/>
                <w:szCs w:val="28"/>
              </w:rPr>
            </w:pPr>
            <w:r>
              <w:rPr>
                <w:rFonts w:hint="eastAsia" w:eastAsia="仿宋_GB2312" w:cs="仿宋_GB2312"/>
                <w:sz w:val="28"/>
                <w:szCs w:val="28"/>
              </w:rPr>
              <w:t>制定天津市全民健身实施计划（2026—2030年）</w:t>
            </w:r>
          </w:p>
        </w:tc>
        <w:tc>
          <w:tcPr>
            <w:tcW w:w="1844" w:type="dxa"/>
            <w:shd w:val="clear" w:color="auto" w:fill="auto"/>
            <w:vAlign w:val="center"/>
          </w:tcPr>
          <w:p>
            <w:pPr>
              <w:pStyle w:val="2"/>
              <w:spacing w:line="0" w:lineRule="atLeast"/>
              <w:jc w:val="center"/>
              <w:rPr>
                <w:rFonts w:eastAsia="仿宋_GB2312" w:cs="仿宋_GB2312"/>
                <w:sz w:val="28"/>
                <w:szCs w:val="28"/>
              </w:rPr>
            </w:pPr>
            <w:r>
              <w:rPr>
                <w:rFonts w:hint="eastAsia" w:eastAsia="仿宋_GB2312" w:cs="仿宋_GB2312"/>
                <w:sz w:val="28"/>
                <w:szCs w:val="28"/>
              </w:rPr>
              <w:t>市体育局</w:t>
            </w:r>
          </w:p>
        </w:tc>
        <w:tc>
          <w:tcPr>
            <w:tcW w:w="1352" w:type="dxa"/>
            <w:shd w:val="clear" w:color="auto" w:fill="auto"/>
            <w:vAlign w:val="center"/>
          </w:tcPr>
          <w:p>
            <w:pPr>
              <w:pStyle w:val="2"/>
              <w:spacing w:line="0" w:lineRule="atLeast"/>
              <w:jc w:val="center"/>
              <w:rPr>
                <w:rFonts w:eastAsia="仿宋_GB2312" w:cs="仿宋_GB2312"/>
                <w:sz w:val="28"/>
                <w:szCs w:val="28"/>
              </w:rPr>
            </w:pPr>
            <w:r>
              <w:rPr>
                <w:rFonts w:hint="eastAsia" w:eastAsia="仿宋_GB2312" w:cs="仿宋_GB2312"/>
                <w:sz w:val="28"/>
                <w:szCs w:val="28"/>
              </w:rPr>
              <w:t>10月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42" w:hRule="atLeast"/>
          <w:jc w:val="center"/>
        </w:trPr>
        <w:tc>
          <w:tcPr>
            <w:tcW w:w="764" w:type="dxa"/>
            <w:shd w:val="clear" w:color="auto" w:fill="auto"/>
            <w:vAlign w:val="center"/>
          </w:tcPr>
          <w:p>
            <w:pPr>
              <w:pStyle w:val="2"/>
              <w:spacing w:line="0" w:lineRule="atLeast"/>
              <w:jc w:val="center"/>
              <w:rPr>
                <w:rFonts w:eastAsia="仿宋_GB2312" w:cs="仿宋_GB2312"/>
                <w:sz w:val="28"/>
                <w:szCs w:val="28"/>
              </w:rPr>
            </w:pPr>
            <w:r>
              <w:rPr>
                <w:rFonts w:hint="eastAsia" w:eastAsia="仿宋_GB2312" w:cs="仿宋_GB2312"/>
                <w:sz w:val="28"/>
                <w:szCs w:val="28"/>
              </w:rPr>
              <w:t>4</w:t>
            </w:r>
          </w:p>
        </w:tc>
        <w:tc>
          <w:tcPr>
            <w:tcW w:w="6191" w:type="dxa"/>
            <w:shd w:val="clear" w:color="auto" w:fill="auto"/>
            <w:vAlign w:val="center"/>
          </w:tcPr>
          <w:p>
            <w:pPr>
              <w:pStyle w:val="2"/>
              <w:spacing w:line="0" w:lineRule="atLeast"/>
              <w:jc w:val="center"/>
              <w:rPr>
                <w:rFonts w:eastAsia="仿宋_GB2312" w:cs="仿宋_GB2312"/>
                <w:sz w:val="28"/>
                <w:szCs w:val="28"/>
              </w:rPr>
            </w:pPr>
            <w:r>
              <w:rPr>
                <w:rFonts w:hint="eastAsia" w:eastAsia="仿宋_GB2312" w:cs="仿宋_GB2312"/>
                <w:sz w:val="28"/>
                <w:szCs w:val="28"/>
              </w:rPr>
              <w:t>制定天津市积分落户管理办法</w:t>
            </w:r>
          </w:p>
        </w:tc>
        <w:tc>
          <w:tcPr>
            <w:tcW w:w="1844" w:type="dxa"/>
            <w:shd w:val="clear" w:color="auto" w:fill="auto"/>
            <w:vAlign w:val="center"/>
          </w:tcPr>
          <w:p>
            <w:pPr>
              <w:pStyle w:val="2"/>
              <w:spacing w:line="0" w:lineRule="atLeast"/>
              <w:jc w:val="center"/>
              <w:rPr>
                <w:rFonts w:eastAsia="仿宋_GB2312" w:cs="仿宋_GB2312"/>
                <w:sz w:val="28"/>
                <w:szCs w:val="28"/>
              </w:rPr>
            </w:pPr>
            <w:r>
              <w:rPr>
                <w:rFonts w:hint="eastAsia" w:eastAsia="仿宋_GB2312" w:cs="仿宋_GB2312"/>
                <w:sz w:val="28"/>
                <w:szCs w:val="28"/>
              </w:rPr>
              <w:t>市发展改革委</w:t>
            </w:r>
          </w:p>
        </w:tc>
        <w:tc>
          <w:tcPr>
            <w:tcW w:w="1352" w:type="dxa"/>
            <w:shd w:val="clear" w:color="auto" w:fill="auto"/>
            <w:vAlign w:val="center"/>
          </w:tcPr>
          <w:p>
            <w:pPr>
              <w:pStyle w:val="2"/>
              <w:spacing w:line="0" w:lineRule="atLeast"/>
              <w:jc w:val="center"/>
              <w:rPr>
                <w:rFonts w:eastAsia="仿宋_GB2312" w:cs="仿宋_GB2312"/>
                <w:sz w:val="28"/>
                <w:szCs w:val="28"/>
              </w:rPr>
            </w:pPr>
            <w:r>
              <w:rPr>
                <w:rFonts w:hint="eastAsia" w:eastAsia="仿宋_GB2312" w:cs="仿宋_GB2312"/>
                <w:sz w:val="28"/>
                <w:szCs w:val="28"/>
              </w:rPr>
              <w:t>11月</w:t>
            </w:r>
          </w:p>
        </w:tc>
      </w:tr>
    </w:tbl>
    <w:p>
      <w:pPr>
        <w:pStyle w:val="2"/>
        <w:rPr>
          <w:rFonts w:eastAsia="仿宋_GB2312"/>
          <w:szCs w:val="32"/>
        </w:rPr>
      </w:pPr>
    </w:p>
    <w:p>
      <w:pPr>
        <w:pStyle w:val="2"/>
        <w:rPr>
          <w:rFonts w:eastAsia="仿宋_GB2312"/>
          <w:szCs w:val="32"/>
        </w:rPr>
      </w:pPr>
    </w:p>
    <w:p>
      <w:pPr>
        <w:pStyle w:val="2"/>
        <w:ind w:left="914" w:hanging="917" w:hangingChars="294"/>
        <w:rPr>
          <w:rFonts w:eastAsia="仿宋_GB2312"/>
          <w:szCs w:val="32"/>
        </w:rPr>
      </w:pPr>
    </w:p>
    <w:p>
      <w:pPr>
        <w:pStyle w:val="2"/>
        <w:ind w:left="914" w:hanging="917" w:hangingChars="294"/>
        <w:rPr>
          <w:rFonts w:eastAsia="仿宋_GB2312"/>
          <w:szCs w:val="32"/>
        </w:rPr>
      </w:pPr>
    </w:p>
    <w:p>
      <w:pPr>
        <w:pStyle w:val="2"/>
        <w:ind w:left="914" w:hanging="917" w:hangingChars="294"/>
        <w:rPr>
          <w:rFonts w:eastAsia="仿宋_GB2312"/>
          <w:szCs w:val="32"/>
        </w:rPr>
      </w:pPr>
    </w:p>
    <w:p>
      <w:pPr>
        <w:pStyle w:val="2"/>
        <w:ind w:left="914" w:hanging="917" w:hangingChars="294"/>
        <w:rPr>
          <w:rFonts w:eastAsia="仿宋_GB2312"/>
          <w:szCs w:val="32"/>
        </w:rPr>
      </w:pPr>
    </w:p>
    <w:p>
      <w:pPr>
        <w:pStyle w:val="2"/>
        <w:ind w:left="914" w:hanging="917" w:hangingChars="294"/>
        <w:rPr>
          <w:rFonts w:eastAsia="仿宋_GB2312"/>
          <w:szCs w:val="32"/>
        </w:rPr>
      </w:pPr>
    </w:p>
    <w:p>
      <w:pPr>
        <w:pStyle w:val="2"/>
        <w:ind w:left="914" w:hanging="917" w:hangingChars="294"/>
        <w:rPr>
          <w:rFonts w:eastAsia="仿宋_GB2312"/>
          <w:szCs w:val="32"/>
        </w:rPr>
      </w:pPr>
    </w:p>
    <w:p>
      <w:pPr>
        <w:pStyle w:val="2"/>
        <w:ind w:left="914" w:hanging="917" w:hangingChars="294"/>
        <w:rPr>
          <w:rFonts w:eastAsia="仿宋_GB2312"/>
          <w:szCs w:val="32"/>
        </w:rPr>
      </w:pPr>
    </w:p>
    <w:p>
      <w:pPr>
        <w:pStyle w:val="2"/>
        <w:ind w:left="914" w:hanging="917" w:hangingChars="294"/>
        <w:rPr>
          <w:rFonts w:eastAsia="仿宋_GB2312"/>
          <w:szCs w:val="32"/>
        </w:rPr>
      </w:pPr>
    </w:p>
    <w:p>
      <w:pPr>
        <w:pStyle w:val="2"/>
        <w:ind w:left="914" w:hanging="917" w:hangingChars="294"/>
        <w:rPr>
          <w:rFonts w:eastAsia="仿宋_GB2312"/>
          <w:szCs w:val="32"/>
        </w:rPr>
      </w:pPr>
    </w:p>
    <w:p>
      <w:pPr>
        <w:pStyle w:val="2"/>
        <w:ind w:left="914" w:hanging="917" w:hangingChars="294"/>
        <w:rPr>
          <w:rFonts w:eastAsia="仿宋_GB2312"/>
          <w:szCs w:val="32"/>
        </w:rPr>
      </w:pPr>
    </w:p>
    <w:p>
      <w:pPr>
        <w:pStyle w:val="2"/>
        <w:ind w:left="914" w:hanging="917" w:hangingChars="294"/>
        <w:rPr>
          <w:rFonts w:eastAsia="仿宋_GB2312"/>
          <w:szCs w:val="32"/>
        </w:rPr>
      </w:pPr>
    </w:p>
    <w:p>
      <w:pPr>
        <w:pStyle w:val="2"/>
        <w:ind w:left="914" w:hanging="917" w:hangingChars="294"/>
        <w:rPr>
          <w:rFonts w:eastAsia="仿宋_GB2312"/>
          <w:szCs w:val="32"/>
        </w:rPr>
      </w:pPr>
    </w:p>
    <w:p>
      <w:pPr>
        <w:pStyle w:val="2"/>
        <w:ind w:left="914" w:hanging="917" w:hangingChars="294"/>
        <w:rPr>
          <w:rFonts w:eastAsia="仿宋_GB2312"/>
          <w:szCs w:val="32"/>
        </w:rPr>
      </w:pPr>
    </w:p>
    <w:p>
      <w:pPr>
        <w:pStyle w:val="2"/>
        <w:ind w:left="914" w:hanging="917" w:hangingChars="294"/>
        <w:rPr>
          <w:rFonts w:eastAsia="仿宋_GB2312"/>
          <w:szCs w:val="32"/>
        </w:rPr>
      </w:pPr>
    </w:p>
    <w:sectPr>
      <w:pgSz w:w="11907" w:h="16840"/>
      <w:pgMar w:top="2098" w:right="1474" w:bottom="1985" w:left="1588" w:header="851" w:footer="1701" w:gutter="0"/>
      <w:cols w:space="720" w:num="1"/>
      <w:docGrid w:type="linesAndChars" w:linePitch="289" w:charSpace="-183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文星仿宋">
    <w:altName w:val="仿宋"/>
    <w:panose1 w:val="00000000000000000000"/>
    <w:charset w:val="00"/>
    <w:family w:val="auto"/>
    <w:pitch w:val="default"/>
    <w:sig w:usb0="00000000" w:usb1="00000000" w:usb2="00000010"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方正小标宋简体">
    <w:altName w:val="黑体"/>
    <w:panose1 w:val="02010601030101010101"/>
    <w:charset w:val="86"/>
    <w:family w:val="auto"/>
    <w:pitch w:val="default"/>
    <w:sig w:usb0="00000000" w:usb1="00000000" w:usb2="00000010" w:usb3="00000000" w:csb0="00040000" w:csb1="00000000"/>
  </w:font>
  <w:font w:name="方正小标宋_GBK">
    <w:altName w:val="微软雅黑"/>
    <w:panose1 w:val="00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outside" w:y="1"/>
      <w:ind w:left="420" w:leftChars="200" w:right="420" w:rightChars="200"/>
      <w:jc w:val="center"/>
      <w:rPr>
        <w:rStyle w:val="11"/>
        <w:sz w:val="28"/>
      </w:rPr>
    </w:pPr>
    <w:r>
      <w:rPr>
        <w:rStyle w:val="11"/>
        <w:rFonts w:hint="eastAsia"/>
        <w:sz w:val="28"/>
      </w:rPr>
      <w:t>—</w:t>
    </w:r>
    <w:r>
      <w:rPr>
        <w:rStyle w:val="11"/>
        <w:sz w:val="28"/>
      </w:rPr>
      <w:t xml:space="preserve"> </w:t>
    </w:r>
    <w:r>
      <w:rPr>
        <w:sz w:val="28"/>
      </w:rPr>
      <w:fldChar w:fldCharType="begin"/>
    </w:r>
    <w:r>
      <w:rPr>
        <w:rStyle w:val="11"/>
        <w:sz w:val="28"/>
      </w:rPr>
      <w:instrText xml:space="preserve">PAGE  </w:instrText>
    </w:r>
    <w:r>
      <w:rPr>
        <w:sz w:val="28"/>
      </w:rPr>
      <w:fldChar w:fldCharType="separate"/>
    </w:r>
    <w:r>
      <w:rPr>
        <w:rStyle w:val="11"/>
        <w:sz w:val="28"/>
      </w:rPr>
      <w:t>4</w:t>
    </w:r>
    <w:r>
      <w:rPr>
        <w:sz w:val="28"/>
      </w:rPr>
      <w:fldChar w:fldCharType="end"/>
    </w:r>
    <w:r>
      <w:rPr>
        <w:rStyle w:val="11"/>
        <w:sz w:val="28"/>
      </w:rPr>
      <w:t xml:space="preserve"> </w:t>
    </w:r>
    <w:r>
      <w:rPr>
        <w:rStyle w:val="11"/>
        <w:rFonts w:hint="eastAsia"/>
        <w:sz w:val="28"/>
      </w:rPr>
      <w:t>—</w:t>
    </w:r>
  </w:p>
  <w:p>
    <w:pPr>
      <w:pStyle w:val="6"/>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outside" w:y="1"/>
      <w:rPr>
        <w:rStyle w:val="11"/>
      </w:rPr>
    </w:pPr>
    <w:r>
      <w:fldChar w:fldCharType="begin"/>
    </w:r>
    <w:r>
      <w:rPr>
        <w:rStyle w:val="11"/>
      </w:rPr>
      <w:instrText xml:space="preserve">PAGE  </w:instrText>
    </w:r>
    <w:r>
      <w:fldChar w:fldCharType="end"/>
    </w:r>
  </w:p>
  <w:p>
    <w:pPr>
      <w:pStyle w:val="6"/>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nforcement="0"/>
  <w:defaultTabStop w:val="420"/>
  <w:drawingGridHorizontalSpacing w:val="201"/>
  <w:drawingGridVerticalSpacing w:val="289"/>
  <w:characterSpacingControl w:val="compressPunctuation"/>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ODgwMzk0YTNmOTEwYzJjM2U3NzNmMTczYWNhOTU0MmYifQ=="/>
  </w:docVars>
  <w:rsids>
    <w:rsidRoot w:val="0052186E"/>
    <w:rsid w:val="000007A8"/>
    <w:rsid w:val="000044C7"/>
    <w:rsid w:val="000068A5"/>
    <w:rsid w:val="0003738B"/>
    <w:rsid w:val="00071623"/>
    <w:rsid w:val="000E2D13"/>
    <w:rsid w:val="00143BAA"/>
    <w:rsid w:val="00184D7D"/>
    <w:rsid w:val="001C2AA4"/>
    <w:rsid w:val="001C3B43"/>
    <w:rsid w:val="002B4F82"/>
    <w:rsid w:val="002E19E1"/>
    <w:rsid w:val="002E5E1B"/>
    <w:rsid w:val="002F11DA"/>
    <w:rsid w:val="002F6A2E"/>
    <w:rsid w:val="00326547"/>
    <w:rsid w:val="00334EA9"/>
    <w:rsid w:val="00344D03"/>
    <w:rsid w:val="003454CF"/>
    <w:rsid w:val="00346591"/>
    <w:rsid w:val="0036674E"/>
    <w:rsid w:val="003811AD"/>
    <w:rsid w:val="003A0B3A"/>
    <w:rsid w:val="003B4936"/>
    <w:rsid w:val="003C2B8E"/>
    <w:rsid w:val="003D411B"/>
    <w:rsid w:val="0040798F"/>
    <w:rsid w:val="00423112"/>
    <w:rsid w:val="00470219"/>
    <w:rsid w:val="00475655"/>
    <w:rsid w:val="00475EA0"/>
    <w:rsid w:val="004D08EE"/>
    <w:rsid w:val="0052186E"/>
    <w:rsid w:val="00573751"/>
    <w:rsid w:val="00577ED3"/>
    <w:rsid w:val="005A520C"/>
    <w:rsid w:val="005C2FB4"/>
    <w:rsid w:val="00600D6F"/>
    <w:rsid w:val="006060B6"/>
    <w:rsid w:val="00643EF8"/>
    <w:rsid w:val="006463F7"/>
    <w:rsid w:val="00672D83"/>
    <w:rsid w:val="00686D91"/>
    <w:rsid w:val="006D1237"/>
    <w:rsid w:val="00712D3A"/>
    <w:rsid w:val="007276F9"/>
    <w:rsid w:val="007318B6"/>
    <w:rsid w:val="00731E55"/>
    <w:rsid w:val="00752846"/>
    <w:rsid w:val="00763B0E"/>
    <w:rsid w:val="00773454"/>
    <w:rsid w:val="00777D65"/>
    <w:rsid w:val="00781034"/>
    <w:rsid w:val="007A0114"/>
    <w:rsid w:val="007A2640"/>
    <w:rsid w:val="007B01A3"/>
    <w:rsid w:val="007B1EDA"/>
    <w:rsid w:val="007C6740"/>
    <w:rsid w:val="007D0386"/>
    <w:rsid w:val="007D2F1D"/>
    <w:rsid w:val="008377C8"/>
    <w:rsid w:val="00846D11"/>
    <w:rsid w:val="0085493B"/>
    <w:rsid w:val="00873B40"/>
    <w:rsid w:val="008914FD"/>
    <w:rsid w:val="008D6530"/>
    <w:rsid w:val="008E29A0"/>
    <w:rsid w:val="008F2448"/>
    <w:rsid w:val="00912EC7"/>
    <w:rsid w:val="00942266"/>
    <w:rsid w:val="00950972"/>
    <w:rsid w:val="00963484"/>
    <w:rsid w:val="009920BF"/>
    <w:rsid w:val="0099656B"/>
    <w:rsid w:val="009C102D"/>
    <w:rsid w:val="009C116B"/>
    <w:rsid w:val="009F78DD"/>
    <w:rsid w:val="009F7972"/>
    <w:rsid w:val="00A36258"/>
    <w:rsid w:val="00A66EE9"/>
    <w:rsid w:val="00A91468"/>
    <w:rsid w:val="00AA3F8A"/>
    <w:rsid w:val="00AA64D3"/>
    <w:rsid w:val="00AC3CF4"/>
    <w:rsid w:val="00AE4B3F"/>
    <w:rsid w:val="00AE656A"/>
    <w:rsid w:val="00B123FE"/>
    <w:rsid w:val="00B70BCD"/>
    <w:rsid w:val="00B770E9"/>
    <w:rsid w:val="00B93140"/>
    <w:rsid w:val="00BA35B4"/>
    <w:rsid w:val="00BC6067"/>
    <w:rsid w:val="00C22CEC"/>
    <w:rsid w:val="00C2526A"/>
    <w:rsid w:val="00CC42BE"/>
    <w:rsid w:val="00CE2267"/>
    <w:rsid w:val="00CE76C4"/>
    <w:rsid w:val="00D000FF"/>
    <w:rsid w:val="00D173C2"/>
    <w:rsid w:val="00D40E94"/>
    <w:rsid w:val="00D43624"/>
    <w:rsid w:val="00D44E9D"/>
    <w:rsid w:val="00D64A77"/>
    <w:rsid w:val="00D8625C"/>
    <w:rsid w:val="00DB7FA1"/>
    <w:rsid w:val="00DD768C"/>
    <w:rsid w:val="00E2093B"/>
    <w:rsid w:val="00E31F62"/>
    <w:rsid w:val="00E67E23"/>
    <w:rsid w:val="00E74110"/>
    <w:rsid w:val="00EA77DD"/>
    <w:rsid w:val="00EB3529"/>
    <w:rsid w:val="00F13242"/>
    <w:rsid w:val="00F23CEA"/>
    <w:rsid w:val="00F35D3F"/>
    <w:rsid w:val="00F410DE"/>
    <w:rsid w:val="00F61E7C"/>
    <w:rsid w:val="00FB20E7"/>
    <w:rsid w:val="07C1932B"/>
    <w:rsid w:val="18176576"/>
    <w:rsid w:val="1EBD1CDF"/>
    <w:rsid w:val="277A71E5"/>
    <w:rsid w:val="277BE4F3"/>
    <w:rsid w:val="29F79B4C"/>
    <w:rsid w:val="3F2FA65A"/>
    <w:rsid w:val="3FEF002A"/>
    <w:rsid w:val="48514C9F"/>
    <w:rsid w:val="4BCEDF44"/>
    <w:rsid w:val="5AFD9C47"/>
    <w:rsid w:val="5BF974CB"/>
    <w:rsid w:val="66F74ECC"/>
    <w:rsid w:val="67EF89D4"/>
    <w:rsid w:val="6EFE6692"/>
    <w:rsid w:val="75FFD392"/>
    <w:rsid w:val="77FF8CE7"/>
    <w:rsid w:val="7AEF9E75"/>
    <w:rsid w:val="7AFEF08A"/>
    <w:rsid w:val="7AFF94C7"/>
    <w:rsid w:val="7F5B6B24"/>
    <w:rsid w:val="7FBFB4A9"/>
    <w:rsid w:val="7FFA306B"/>
    <w:rsid w:val="A3DDE2FD"/>
    <w:rsid w:val="AB33E394"/>
    <w:rsid w:val="BF7F705B"/>
    <w:rsid w:val="C7D8431C"/>
    <w:rsid w:val="D67C42A4"/>
    <w:rsid w:val="E3F4B342"/>
    <w:rsid w:val="E3FE636F"/>
    <w:rsid w:val="E9BD9F45"/>
    <w:rsid w:val="F43FC922"/>
    <w:rsid w:val="F6DDAC26"/>
    <w:rsid w:val="FAE66E80"/>
    <w:rsid w:val="FDAB1508"/>
    <w:rsid w:val="FE7FF306"/>
    <w:rsid w:val="FF6FF35B"/>
    <w:rsid w:val="FFCBA03E"/>
    <w:rsid w:val="FFED1F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2">
    <w:name w:val="Body Text"/>
    <w:basedOn w:val="1"/>
    <w:link w:val="13"/>
    <w:uiPriority w:val="0"/>
    <w:rPr>
      <w:rFonts w:eastAsia="文星仿宋"/>
      <w:sz w:val="32"/>
    </w:rPr>
  </w:style>
  <w:style w:type="paragraph" w:styleId="3">
    <w:name w:val="Body Text Indent"/>
    <w:basedOn w:val="1"/>
    <w:qFormat/>
    <w:uiPriority w:val="0"/>
    <w:pPr>
      <w:ind w:firstLine="720" w:firstLineChars="225"/>
    </w:pPr>
    <w:rPr>
      <w:sz w:val="32"/>
      <w:szCs w:val="20"/>
    </w:rPr>
  </w:style>
  <w:style w:type="paragraph" w:styleId="4">
    <w:name w:val="Date"/>
    <w:basedOn w:val="1"/>
    <w:next w:val="1"/>
    <w:uiPriority w:val="0"/>
    <w:pPr>
      <w:ind w:left="100" w:leftChars="2500"/>
    </w:pPr>
  </w:style>
  <w:style w:type="paragraph" w:styleId="5">
    <w:name w:val="Balloon Text"/>
    <w:basedOn w:val="1"/>
    <w:semiHidden/>
    <w:uiPriority w:val="0"/>
    <w:rPr>
      <w:sz w:val="18"/>
      <w:szCs w:val="18"/>
    </w:rPr>
  </w:style>
  <w:style w:type="paragraph" w:styleId="6">
    <w:name w:val="footer"/>
    <w:basedOn w:val="1"/>
    <w:uiPriority w:val="0"/>
    <w:pPr>
      <w:tabs>
        <w:tab w:val="center" w:pos="4153"/>
        <w:tab w:val="right" w:pos="8306"/>
      </w:tabs>
      <w:snapToGrid w:val="0"/>
      <w:jc w:val="left"/>
    </w:pPr>
    <w:rPr>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9">
    <w:name w:val="Table Grid"/>
    <w:basedOn w:val="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page number"/>
    <w:basedOn w:val="10"/>
    <w:uiPriority w:val="0"/>
  </w:style>
  <w:style w:type="character" w:styleId="12">
    <w:name w:val="Hyperlink"/>
    <w:qFormat/>
    <w:uiPriority w:val="0"/>
    <w:rPr>
      <w:color w:val="0000FF"/>
      <w:u w:val="single"/>
    </w:rPr>
  </w:style>
  <w:style w:type="character" w:customStyle="1" w:styleId="13">
    <w:name w:val="正文文本 Char"/>
    <w:link w:val="2"/>
    <w:uiPriority w:val="0"/>
    <w:rPr>
      <w:rFonts w:eastAsia="文星仿宋"/>
      <w:kern w:val="2"/>
      <w:sz w:val="32"/>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tjszf</Company>
  <Pages>4</Pages>
  <Words>104</Words>
  <Characters>598</Characters>
  <Lines>4</Lines>
  <Paragraphs>1</Paragraphs>
  <TotalTime>0</TotalTime>
  <ScaleCrop>false</ScaleCrop>
  <LinksUpToDate>false</LinksUpToDate>
  <CharactersWithSpaces>701</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2014-06-12T00:51:00Z</dcterms:created>
  <dc:creator>jsj</dc:creator>
  <cp:lastModifiedBy> Chloe堂姐</cp:lastModifiedBy>
  <cp:lastPrinted>2026-03-25T23:23:00Z</cp:lastPrinted>
  <dcterms:modified xsi:type="dcterms:W3CDTF">2026-03-31T01:11:32Z</dcterms:modified>
  <dc:title>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dc:title>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135586AA6703549C7EAEC3693D826A72</vt:lpwstr>
  </property>
</Properties>
</file>