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08829">
      <w:pPr>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附件1</w:t>
      </w:r>
    </w:p>
    <w:p w14:paraId="1274767A">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天津市市场监督管理首违不罚清单</w:t>
      </w:r>
    </w:p>
    <w:p w14:paraId="42086239">
      <w:pP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本清单适用《中华人民共和国行政处罚法》第三十三条</w:t>
      </w:r>
      <w:r>
        <w:rPr>
          <w:rFonts w:hint="eastAsia" w:ascii="仿宋_GB2312" w:hAnsi="仿宋_GB2312" w:eastAsia="仿宋_GB2312" w:cs="仿宋_GB2312"/>
          <w:sz w:val="24"/>
          <w:lang w:eastAsia="zh-CN"/>
        </w:rPr>
        <w:t>第一款</w:t>
      </w:r>
      <w:r>
        <w:rPr>
          <w:rFonts w:hint="eastAsia" w:ascii="仿宋_GB2312" w:hAnsi="仿宋_GB2312" w:eastAsia="仿宋_GB2312" w:cs="仿宋_GB2312"/>
          <w:sz w:val="24"/>
        </w:rPr>
        <w:t>规定的“初次违法且危害后果轻微并及时改正的，可以不予行政处罚”的情形。</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2378"/>
        <w:gridCol w:w="7938"/>
        <w:gridCol w:w="3151"/>
      </w:tblGrid>
      <w:tr w14:paraId="62223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top"/>
          </w:tcPr>
          <w:p w14:paraId="7C3FBFE1">
            <w:pPr>
              <w:jc w:val="center"/>
              <w:rPr>
                <w:rFonts w:hint="eastAsia" w:ascii="黑体" w:hAnsi="黑体" w:eastAsia="黑体" w:cs="黑体"/>
                <w:sz w:val="24"/>
                <w:highlight w:val="none"/>
              </w:rPr>
            </w:pPr>
            <w:r>
              <w:rPr>
                <w:rFonts w:hint="eastAsia" w:ascii="黑体" w:hAnsi="黑体" w:eastAsia="黑体" w:cs="黑体"/>
                <w:sz w:val="24"/>
                <w:highlight w:val="none"/>
              </w:rPr>
              <w:t>序号</w:t>
            </w:r>
          </w:p>
        </w:tc>
        <w:tc>
          <w:tcPr>
            <w:tcW w:w="2378" w:type="dxa"/>
            <w:noWrap w:val="0"/>
            <w:vAlign w:val="top"/>
          </w:tcPr>
          <w:p w14:paraId="27301018">
            <w:pPr>
              <w:jc w:val="center"/>
              <w:rPr>
                <w:rFonts w:hint="eastAsia" w:ascii="黑体" w:hAnsi="黑体" w:eastAsia="黑体" w:cs="黑体"/>
                <w:sz w:val="24"/>
                <w:highlight w:val="none"/>
              </w:rPr>
            </w:pPr>
            <w:r>
              <w:rPr>
                <w:rFonts w:hint="eastAsia" w:ascii="黑体" w:hAnsi="黑体" w:eastAsia="黑体" w:cs="黑体"/>
                <w:sz w:val="24"/>
                <w:highlight w:val="none"/>
              </w:rPr>
              <w:t>违法行为类型</w:t>
            </w:r>
          </w:p>
        </w:tc>
        <w:tc>
          <w:tcPr>
            <w:tcW w:w="7938" w:type="dxa"/>
            <w:noWrap w:val="0"/>
            <w:vAlign w:val="top"/>
          </w:tcPr>
          <w:p w14:paraId="7B5FD586">
            <w:pPr>
              <w:jc w:val="center"/>
              <w:rPr>
                <w:rFonts w:hint="eastAsia" w:ascii="黑体" w:hAnsi="黑体" w:eastAsia="黑体" w:cs="黑体"/>
                <w:sz w:val="24"/>
                <w:highlight w:val="none"/>
              </w:rPr>
            </w:pPr>
            <w:r>
              <w:rPr>
                <w:rFonts w:hint="eastAsia" w:ascii="黑体" w:hAnsi="黑体" w:eastAsia="黑体" w:cs="黑体"/>
                <w:sz w:val="24"/>
                <w:highlight w:val="none"/>
              </w:rPr>
              <w:t>处罚依据</w:t>
            </w:r>
          </w:p>
        </w:tc>
        <w:tc>
          <w:tcPr>
            <w:tcW w:w="3151" w:type="dxa"/>
            <w:noWrap w:val="0"/>
            <w:vAlign w:val="top"/>
          </w:tcPr>
          <w:p w14:paraId="7B857773">
            <w:pPr>
              <w:jc w:val="center"/>
              <w:rPr>
                <w:rFonts w:hint="eastAsia" w:ascii="黑体" w:hAnsi="黑体" w:eastAsia="黑体" w:cs="黑体"/>
                <w:sz w:val="24"/>
                <w:highlight w:val="none"/>
              </w:rPr>
            </w:pPr>
            <w:r>
              <w:rPr>
                <w:rFonts w:hint="eastAsia" w:ascii="黑体" w:hAnsi="黑体" w:eastAsia="黑体" w:cs="黑体"/>
                <w:sz w:val="24"/>
                <w:highlight w:val="none"/>
              </w:rPr>
              <w:t>免罚条件</w:t>
            </w:r>
          </w:p>
        </w:tc>
      </w:tr>
      <w:tr w14:paraId="7DCD1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14:paraId="79C0CD73">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w:t>
            </w:r>
          </w:p>
        </w:tc>
        <w:tc>
          <w:tcPr>
            <w:tcW w:w="2378" w:type="dxa"/>
            <w:noWrap w:val="0"/>
            <w:vAlign w:val="center"/>
          </w:tcPr>
          <w:p w14:paraId="00DF52C9">
            <w:pPr>
              <w:pStyle w:val="2"/>
              <w:ind w:left="0" w:leftChars="0" w:firstLine="0" w:firstLineChars="0"/>
              <w:rPr>
                <w:rFonts w:hint="eastAsia"/>
              </w:rPr>
            </w:pPr>
            <w:r>
              <w:rPr>
                <w:rFonts w:hint="eastAsia"/>
              </w:rPr>
              <w:t>广告中使用“国家级”“最高级”“最佳”等用语</w:t>
            </w:r>
          </w:p>
          <w:p w14:paraId="5628C600">
            <w:pPr>
              <w:rPr>
                <w:rFonts w:hint="eastAsia"/>
                <w:lang w:eastAsia="zh-CN"/>
              </w:rPr>
            </w:pPr>
          </w:p>
        </w:tc>
        <w:tc>
          <w:tcPr>
            <w:tcW w:w="7938" w:type="dxa"/>
            <w:noWrap w:val="0"/>
            <w:vAlign w:val="center"/>
          </w:tcPr>
          <w:p w14:paraId="1AC5620A">
            <w:pPr>
              <w:tabs>
                <w:tab w:val="left" w:pos="790"/>
                <w:tab w:val="left" w:pos="1264"/>
              </w:tabs>
              <w:overflowPunct w:val="0"/>
              <w:adjustRightInd w:val="0"/>
              <w:snapToGrid w:val="0"/>
              <w:spacing w:line="32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《中华人民共和国广告法》第九条第三项  广告不得有下列情形：（三）使用“国家级”、“最高级”、“最佳”等用语。</w:t>
            </w:r>
          </w:p>
          <w:p w14:paraId="5DBFF5A1">
            <w:pPr>
              <w:tabs>
                <w:tab w:val="left" w:pos="790"/>
                <w:tab w:val="left" w:pos="1264"/>
              </w:tabs>
              <w:overflowPunct w:val="0"/>
              <w:adjustRightInd w:val="0"/>
              <w:snapToGrid w:val="0"/>
              <w:spacing w:line="27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第五十七条第一项  有下列行为之一的，由市场监督管理部门责令停止发布广告，对广告主处二十万元以上一百万元以下的罚款，情节严重的，并可以吊销营业执照，由广告审查机关撤销广告审查批准文件、一年内不受理其广告审查申请；对广告经营者、广告发布者，由市场监督管理部门没收广告费用，处二十万元以上一百万元以下的罚款，情节严重的，并可以吊销营业执照、吊销广告发布登记证件：（一）发布有本法第九条、第十条规定的禁止情形的广告的；</w:t>
            </w:r>
          </w:p>
        </w:tc>
        <w:tc>
          <w:tcPr>
            <w:tcW w:w="3151" w:type="dxa"/>
            <w:noWrap w:val="0"/>
            <w:vAlign w:val="center"/>
          </w:tcPr>
          <w:p w14:paraId="687B1DE3">
            <w:pPr>
              <w:tabs>
                <w:tab w:val="left" w:pos="790"/>
                <w:tab w:val="left" w:pos="1264"/>
              </w:tabs>
              <w:overflowPunct w:val="0"/>
              <w:adjustRightInd w:val="0"/>
              <w:snapToGrid w:val="0"/>
              <w:spacing w:line="320" w:lineRule="exact"/>
              <w:rPr>
                <w:rFonts w:hint="eastAsia" w:ascii="仿宋_GB2312" w:hAnsi="仿宋_GB2312" w:eastAsia="仿宋_GB2312" w:cs="仿宋_GB2312"/>
                <w:sz w:val="24"/>
                <w:szCs w:val="24"/>
                <w:highlight w:val="none"/>
                <w:lang w:val="en"/>
              </w:rPr>
            </w:pPr>
            <w:r>
              <w:rPr>
                <w:rFonts w:hint="eastAsia" w:ascii="仿宋_GB2312" w:hAnsi="仿宋_GB2312" w:eastAsia="仿宋_GB2312" w:cs="仿宋_GB2312"/>
                <w:sz w:val="24"/>
                <w:szCs w:val="24"/>
                <w:highlight w:val="none"/>
              </w:rPr>
              <w:t>1.涉案广告</w:t>
            </w:r>
            <w:r>
              <w:rPr>
                <w:rFonts w:hint="eastAsia" w:ascii="仿宋_GB2312" w:hAnsi="仿宋_GB2312" w:eastAsia="仿宋_GB2312" w:cs="仿宋_GB2312"/>
                <w:sz w:val="24"/>
                <w:szCs w:val="24"/>
                <w:highlight w:val="none"/>
                <w:lang w:eastAsia="zh-CN"/>
              </w:rPr>
              <w:t>系</w:t>
            </w:r>
            <w:r>
              <w:rPr>
                <w:rFonts w:hint="eastAsia" w:ascii="仿宋_GB2312" w:hAnsi="仿宋_GB2312" w:eastAsia="仿宋_GB2312" w:cs="仿宋_GB2312"/>
                <w:sz w:val="24"/>
                <w:szCs w:val="24"/>
                <w:highlight w:val="none"/>
              </w:rPr>
              <w:t>广告主通过</w:t>
            </w:r>
            <w:r>
              <w:rPr>
                <w:rFonts w:hint="eastAsia" w:ascii="仿宋_GB2312" w:hAnsi="仿宋_GB2312" w:eastAsia="仿宋_GB2312" w:cs="仿宋_GB2312"/>
                <w:sz w:val="24"/>
                <w:szCs w:val="24"/>
                <w:highlight w:val="none"/>
                <w:lang w:eastAsia="zh-CN"/>
              </w:rPr>
              <w:t>其</w:t>
            </w:r>
            <w:r>
              <w:rPr>
                <w:rFonts w:hint="eastAsia" w:ascii="仿宋_GB2312" w:hAnsi="仿宋_GB2312" w:eastAsia="仿宋_GB2312" w:cs="仿宋_GB2312"/>
                <w:sz w:val="24"/>
                <w:szCs w:val="24"/>
                <w:highlight w:val="none"/>
              </w:rPr>
              <w:t>经营场所</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互联网自媒体、宣传单等自行发布</w:t>
            </w:r>
            <w:r>
              <w:rPr>
                <w:rFonts w:hint="eastAsia" w:ascii="仿宋_GB2312" w:hAnsi="仿宋_GB2312" w:eastAsia="仿宋_GB2312" w:cs="仿宋_GB2312"/>
                <w:sz w:val="24"/>
                <w:szCs w:val="24"/>
                <w:highlight w:val="none"/>
                <w:lang w:val="en"/>
              </w:rPr>
              <w:t>;</w:t>
            </w:r>
          </w:p>
          <w:p w14:paraId="47A1CF69">
            <w:pPr>
              <w:tabs>
                <w:tab w:val="left" w:pos="790"/>
                <w:tab w:val="left" w:pos="1264"/>
              </w:tabs>
              <w:overflowPunct w:val="0"/>
              <w:adjustRightInd w:val="0"/>
              <w:snapToGrid w:val="0"/>
              <w:spacing w:line="32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2.初次违法，及时改正，且没有造成危害后果</w:t>
            </w:r>
            <w:r>
              <w:rPr>
                <w:rFonts w:hint="eastAsia" w:ascii="仿宋_GB2312" w:hAnsi="仿宋_GB2312" w:eastAsia="仿宋_GB2312" w:cs="仿宋_GB2312"/>
                <w:sz w:val="24"/>
                <w:szCs w:val="24"/>
                <w:highlight w:val="none"/>
                <w:lang w:eastAsia="zh-CN"/>
              </w:rPr>
              <w:t>或者危害后果轻微</w:t>
            </w:r>
            <w:r>
              <w:rPr>
                <w:rFonts w:hint="eastAsia" w:ascii="仿宋_GB2312" w:hAnsi="仿宋_GB2312" w:eastAsia="仿宋_GB2312" w:cs="仿宋_GB2312"/>
                <w:sz w:val="24"/>
                <w:szCs w:val="24"/>
                <w:highlight w:val="none"/>
              </w:rPr>
              <w:t>。</w:t>
            </w:r>
          </w:p>
        </w:tc>
      </w:tr>
      <w:tr w14:paraId="7DE02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9" w:hRule="atLeast"/>
        </w:trPr>
        <w:tc>
          <w:tcPr>
            <w:tcW w:w="707" w:type="dxa"/>
            <w:noWrap w:val="0"/>
            <w:vAlign w:val="center"/>
          </w:tcPr>
          <w:p w14:paraId="5A5B68EA">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w:t>
            </w:r>
          </w:p>
        </w:tc>
        <w:tc>
          <w:tcPr>
            <w:tcW w:w="2378" w:type="dxa"/>
            <w:noWrap w:val="0"/>
            <w:vAlign w:val="center"/>
          </w:tcPr>
          <w:p w14:paraId="127DAC24">
            <w:pPr>
              <w:pStyle w:val="2"/>
              <w:ind w:left="0" w:leftChars="0" w:firstLine="0" w:firstLineChars="0"/>
              <w:rPr>
                <w:rFonts w:hint="eastAsia"/>
              </w:rPr>
            </w:pPr>
            <w:r>
              <w:rPr>
                <w:rFonts w:hint="eastAsia"/>
              </w:rPr>
              <w:t>酒类广告出现饮酒的动作</w:t>
            </w:r>
          </w:p>
          <w:p w14:paraId="2960B2BF">
            <w:pPr>
              <w:rPr>
                <w:rFonts w:hint="eastAsia"/>
                <w:lang w:eastAsia="zh-CN"/>
              </w:rPr>
            </w:pPr>
          </w:p>
        </w:tc>
        <w:tc>
          <w:tcPr>
            <w:tcW w:w="7938" w:type="dxa"/>
            <w:noWrap w:val="0"/>
            <w:vAlign w:val="center"/>
          </w:tcPr>
          <w:p w14:paraId="11CCC2B4">
            <w:pPr>
              <w:tabs>
                <w:tab w:val="left" w:pos="790"/>
                <w:tab w:val="left" w:pos="1264"/>
              </w:tabs>
              <w:overflowPunct w:val="0"/>
              <w:adjustRightInd w:val="0"/>
              <w:snapToGrid w:val="0"/>
              <w:spacing w:line="27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《中华人民共和国广告法》第二十三条第二项  酒类广告不得含有下列内容：（二）出现饮酒的动作。</w:t>
            </w:r>
          </w:p>
          <w:p w14:paraId="58CCF06B">
            <w:pPr>
              <w:tabs>
                <w:tab w:val="left" w:pos="790"/>
                <w:tab w:val="left" w:pos="1264"/>
              </w:tabs>
              <w:overflowPunct w:val="0"/>
              <w:adjustRightInd w:val="0"/>
              <w:snapToGrid w:val="0"/>
              <w:spacing w:line="27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第五十八条第一款第五项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五）违反本法第二十三条规定发布酒类广告的。</w:t>
            </w:r>
          </w:p>
        </w:tc>
        <w:tc>
          <w:tcPr>
            <w:tcW w:w="3151" w:type="dxa"/>
            <w:noWrap w:val="0"/>
            <w:vAlign w:val="center"/>
          </w:tcPr>
          <w:p w14:paraId="53062145">
            <w:pPr>
              <w:tabs>
                <w:tab w:val="left" w:pos="790"/>
                <w:tab w:val="left" w:pos="1264"/>
              </w:tabs>
              <w:overflowPunct w:val="0"/>
              <w:adjustRightInd w:val="0"/>
              <w:snapToGrid w:val="0"/>
              <w:spacing w:line="320" w:lineRule="exact"/>
              <w:rPr>
                <w:rFonts w:hint="eastAsia" w:ascii="仿宋_GB2312" w:hAnsi="仿宋_GB2312" w:eastAsia="仿宋_GB2312" w:cs="仿宋_GB2312"/>
                <w:sz w:val="24"/>
                <w:szCs w:val="24"/>
                <w:highlight w:val="none"/>
                <w:lang w:val="en"/>
              </w:rPr>
            </w:pPr>
            <w:r>
              <w:rPr>
                <w:rFonts w:hint="eastAsia" w:ascii="仿宋_GB2312" w:hAnsi="仿宋_GB2312" w:eastAsia="仿宋_GB2312" w:cs="仿宋_GB2312"/>
                <w:sz w:val="24"/>
                <w:szCs w:val="24"/>
                <w:highlight w:val="none"/>
              </w:rPr>
              <w:t>1.涉案广告</w:t>
            </w:r>
            <w:r>
              <w:rPr>
                <w:rFonts w:hint="eastAsia" w:ascii="仿宋_GB2312" w:hAnsi="仿宋_GB2312" w:eastAsia="仿宋_GB2312" w:cs="仿宋_GB2312"/>
                <w:sz w:val="24"/>
                <w:szCs w:val="24"/>
                <w:highlight w:val="none"/>
                <w:lang w:eastAsia="zh-CN"/>
              </w:rPr>
              <w:t>系</w:t>
            </w:r>
            <w:r>
              <w:rPr>
                <w:rFonts w:hint="eastAsia" w:ascii="仿宋_GB2312" w:hAnsi="仿宋_GB2312" w:eastAsia="仿宋_GB2312" w:cs="仿宋_GB2312"/>
                <w:sz w:val="24"/>
                <w:szCs w:val="24"/>
                <w:highlight w:val="none"/>
              </w:rPr>
              <w:t>广告主通过</w:t>
            </w:r>
            <w:r>
              <w:rPr>
                <w:rFonts w:hint="eastAsia" w:ascii="仿宋_GB2312" w:hAnsi="仿宋_GB2312" w:eastAsia="仿宋_GB2312" w:cs="仿宋_GB2312"/>
                <w:sz w:val="24"/>
                <w:szCs w:val="24"/>
                <w:highlight w:val="none"/>
                <w:lang w:eastAsia="zh-CN"/>
              </w:rPr>
              <w:t>其</w:t>
            </w:r>
            <w:r>
              <w:rPr>
                <w:rFonts w:hint="eastAsia" w:ascii="仿宋_GB2312" w:hAnsi="仿宋_GB2312" w:eastAsia="仿宋_GB2312" w:cs="仿宋_GB2312"/>
                <w:sz w:val="24"/>
                <w:szCs w:val="24"/>
                <w:highlight w:val="none"/>
              </w:rPr>
              <w:t>经营场所</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互联网自媒体、宣传单等自行发布；</w:t>
            </w:r>
          </w:p>
          <w:p w14:paraId="089042AF">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r>
              <w:rPr>
                <w:rFonts w:hint="eastAsia" w:ascii="仿宋_GB2312" w:hAnsi="仿宋_GB2312" w:eastAsia="仿宋_GB2312" w:cs="仿宋_GB2312"/>
                <w:sz w:val="24"/>
                <w:szCs w:val="24"/>
                <w:highlight w:val="none"/>
                <w:lang w:val="en"/>
              </w:rPr>
              <w:t>.</w:t>
            </w:r>
            <w:r>
              <w:rPr>
                <w:rFonts w:hint="eastAsia" w:ascii="仿宋_GB2312" w:hAnsi="仿宋_GB2312" w:eastAsia="仿宋_GB2312" w:cs="仿宋_GB2312"/>
                <w:sz w:val="24"/>
                <w:szCs w:val="24"/>
                <w:highlight w:val="none"/>
              </w:rPr>
              <w:t>初次违法，及时改正，且没有造成危害后果</w:t>
            </w:r>
            <w:r>
              <w:rPr>
                <w:rFonts w:hint="eastAsia" w:ascii="仿宋_GB2312" w:hAnsi="仿宋_GB2312" w:eastAsia="仿宋_GB2312" w:cs="仿宋_GB2312"/>
                <w:sz w:val="24"/>
                <w:szCs w:val="24"/>
                <w:highlight w:val="none"/>
                <w:lang w:eastAsia="zh-CN"/>
              </w:rPr>
              <w:t>或者危害后果轻微</w:t>
            </w:r>
            <w:r>
              <w:rPr>
                <w:rFonts w:hint="eastAsia" w:ascii="仿宋_GB2312" w:hAnsi="仿宋_GB2312" w:eastAsia="仿宋_GB2312" w:cs="仿宋_GB2312"/>
                <w:sz w:val="24"/>
                <w:szCs w:val="24"/>
                <w:highlight w:val="none"/>
              </w:rPr>
              <w:t>。</w:t>
            </w:r>
          </w:p>
        </w:tc>
      </w:tr>
      <w:tr w14:paraId="490FC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14:paraId="18944931">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w:t>
            </w:r>
          </w:p>
        </w:tc>
        <w:tc>
          <w:tcPr>
            <w:tcW w:w="2378" w:type="dxa"/>
            <w:noWrap w:val="0"/>
            <w:vAlign w:val="center"/>
          </w:tcPr>
          <w:p w14:paraId="477A3258">
            <w:pPr>
              <w:pStyle w:val="2"/>
              <w:ind w:left="0" w:leftChars="0" w:firstLine="0" w:firstLineChars="0"/>
              <w:rPr>
                <w:rFonts w:hint="eastAsia"/>
              </w:rPr>
            </w:pPr>
            <w:r>
              <w:rPr>
                <w:rFonts w:hint="eastAsia"/>
              </w:rPr>
              <w:t>已取得预售或者销售许可证的房地产项目，其预售或者销售广告未载明预售或者销售许可证书号</w:t>
            </w:r>
          </w:p>
          <w:p w14:paraId="389E7661">
            <w:pPr>
              <w:rPr>
                <w:rFonts w:hint="eastAsia"/>
                <w:lang w:eastAsia="zh-CN"/>
              </w:rPr>
            </w:pPr>
          </w:p>
        </w:tc>
        <w:tc>
          <w:tcPr>
            <w:tcW w:w="7938" w:type="dxa"/>
            <w:noWrap w:val="0"/>
            <w:vAlign w:val="center"/>
          </w:tcPr>
          <w:p w14:paraId="544602A6">
            <w:pPr>
              <w:tabs>
                <w:tab w:val="left" w:pos="790"/>
                <w:tab w:val="left" w:pos="1264"/>
              </w:tabs>
              <w:overflowPunct w:val="0"/>
              <w:adjustRightInd w:val="0"/>
              <w:snapToGrid w:val="0"/>
              <w:spacing w:line="27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《房地产广告发布规定》第七条</w:t>
            </w:r>
            <w:r>
              <w:rPr>
                <w:rFonts w:hint="eastAsia" w:ascii="仿宋_GB2312" w:hAnsi="仿宋_GB2312" w:eastAsia="仿宋_GB2312" w:cs="仿宋_GB2312"/>
                <w:sz w:val="24"/>
                <w:szCs w:val="24"/>
                <w:highlight w:val="none"/>
                <w:lang w:val="en"/>
              </w:rPr>
              <w:t xml:space="preserve">  </w:t>
            </w:r>
            <w:r>
              <w:rPr>
                <w:rFonts w:hint="eastAsia" w:ascii="仿宋_GB2312" w:hAnsi="仿宋_GB2312" w:eastAsia="仿宋_GB2312" w:cs="仿宋_GB2312"/>
                <w:sz w:val="24"/>
                <w:szCs w:val="24"/>
                <w:highlight w:val="none"/>
              </w:rPr>
              <w:t>房地产预售、销售广告，必须载明以下事项：</w:t>
            </w:r>
          </w:p>
          <w:p w14:paraId="612A36A2">
            <w:pPr>
              <w:tabs>
                <w:tab w:val="left" w:pos="790"/>
                <w:tab w:val="left" w:pos="1264"/>
              </w:tabs>
              <w:overflowPunct w:val="0"/>
              <w:adjustRightInd w:val="0"/>
              <w:snapToGrid w:val="0"/>
              <w:spacing w:line="27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（一）开发企业名称；</w:t>
            </w:r>
          </w:p>
          <w:p w14:paraId="709795EF">
            <w:pPr>
              <w:tabs>
                <w:tab w:val="left" w:pos="790"/>
                <w:tab w:val="left" w:pos="1264"/>
              </w:tabs>
              <w:overflowPunct w:val="0"/>
              <w:adjustRightInd w:val="0"/>
              <w:snapToGrid w:val="0"/>
              <w:spacing w:line="27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（二）中介服务机构代理销售的，载明该机构名称；</w:t>
            </w:r>
          </w:p>
          <w:p w14:paraId="3AC7A5C6">
            <w:pPr>
              <w:tabs>
                <w:tab w:val="left" w:pos="790"/>
                <w:tab w:val="left" w:pos="1264"/>
              </w:tabs>
              <w:overflowPunct w:val="0"/>
              <w:adjustRightInd w:val="0"/>
              <w:snapToGrid w:val="0"/>
              <w:spacing w:line="27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（三）预售或者销售许可证书号。</w:t>
            </w:r>
          </w:p>
          <w:p w14:paraId="7A1BEB30">
            <w:pPr>
              <w:tabs>
                <w:tab w:val="left" w:pos="790"/>
                <w:tab w:val="left" w:pos="1264"/>
              </w:tabs>
              <w:overflowPunct w:val="0"/>
              <w:adjustRightInd w:val="0"/>
              <w:snapToGrid w:val="0"/>
              <w:spacing w:line="27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广告中仅介绍房地产项目名称的，可以不必载明上述事项。</w:t>
            </w:r>
          </w:p>
          <w:p w14:paraId="3F2146C3">
            <w:pPr>
              <w:tabs>
                <w:tab w:val="left" w:pos="790"/>
                <w:tab w:val="left" w:pos="1264"/>
              </w:tabs>
              <w:overflowPunct w:val="0"/>
              <w:adjustRightInd w:val="0"/>
              <w:snapToGrid w:val="0"/>
              <w:spacing w:line="270" w:lineRule="exact"/>
              <w:rPr>
                <w:rFonts w:hint="eastAsia" w:ascii="仿宋_GB2312" w:hAnsi="仿宋_GB2312" w:eastAsia="仿宋_GB2312" w:cs="仿宋_GB2312"/>
                <w:sz w:val="24"/>
                <w:szCs w:val="24"/>
                <w:highlight w:val="none"/>
                <w:lang w:val="en"/>
              </w:rPr>
            </w:pPr>
            <w:r>
              <w:rPr>
                <w:rFonts w:hint="eastAsia" w:ascii="仿宋_GB2312" w:hAnsi="仿宋_GB2312" w:eastAsia="仿宋_GB2312" w:cs="仿宋_GB2312"/>
                <w:sz w:val="24"/>
                <w:szCs w:val="24"/>
                <w:highlight w:val="none"/>
              </w:rPr>
              <w:t>第二十一条 违反本规定发布广告，《广告法》及其他法律法规有规定的，依照有关法律法规规定予以处罚。法律法规没有规定的，对负有责任的广告主、广告经营者、广告发布者，处以违法所得三倍以下但不超过三万元的罚款；没有违法所得的，处以一万元以下的罚款。</w:t>
            </w:r>
          </w:p>
        </w:tc>
        <w:tc>
          <w:tcPr>
            <w:tcW w:w="3151" w:type="dxa"/>
            <w:noWrap w:val="0"/>
            <w:vAlign w:val="center"/>
          </w:tcPr>
          <w:p w14:paraId="36C7020A">
            <w:pP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1.初次违法；</w:t>
            </w:r>
          </w:p>
          <w:p w14:paraId="5CE83B53">
            <w:pP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2.没有造成危害后果或者危害后果轻微；</w:t>
            </w:r>
          </w:p>
          <w:p w14:paraId="3E5259D8">
            <w:pPr>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color w:val="auto"/>
                <w:kern w:val="0"/>
                <w:sz w:val="24"/>
                <w:szCs w:val="24"/>
                <w:highlight w:val="none"/>
                <w:u w:val="none"/>
                <w:lang w:val="en-US" w:eastAsia="zh-CN" w:bidi="ar"/>
              </w:rPr>
              <w:t>3.及时改正。</w:t>
            </w:r>
          </w:p>
        </w:tc>
      </w:tr>
      <w:tr w14:paraId="71F77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14:paraId="5EC09B6A">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w:t>
            </w:r>
          </w:p>
        </w:tc>
        <w:tc>
          <w:tcPr>
            <w:tcW w:w="2378" w:type="dxa"/>
            <w:noWrap w:val="0"/>
            <w:vAlign w:val="center"/>
          </w:tcPr>
          <w:p w14:paraId="1F915B95">
            <w:pPr>
              <w:pStyle w:val="2"/>
              <w:ind w:left="0" w:leftChars="0" w:firstLine="0" w:firstLineChars="0"/>
              <w:rPr>
                <w:rFonts w:hint="eastAsia"/>
              </w:rPr>
            </w:pPr>
            <w:r>
              <w:rPr>
                <w:rFonts w:hint="eastAsia"/>
              </w:rPr>
              <w:t>未经审查发布医疗、药品、医疗器械、农药、兽药、保健食品广告，以及法律、行政法规规定应当进行审查的其他广告</w:t>
            </w:r>
          </w:p>
          <w:p w14:paraId="1D39F988">
            <w:pPr>
              <w:rPr>
                <w:rFonts w:hint="eastAsia"/>
                <w:lang w:eastAsia="zh-CN"/>
              </w:rPr>
            </w:pPr>
          </w:p>
        </w:tc>
        <w:tc>
          <w:tcPr>
            <w:tcW w:w="7938" w:type="dxa"/>
            <w:noWrap w:val="0"/>
            <w:vAlign w:val="center"/>
          </w:tcPr>
          <w:p w14:paraId="0C01CD47">
            <w:pPr>
              <w:tabs>
                <w:tab w:val="left" w:pos="790"/>
                <w:tab w:val="left" w:pos="1264"/>
              </w:tabs>
              <w:overflowPunct w:val="0"/>
              <w:adjustRightInd w:val="0"/>
              <w:snapToGrid w:val="0"/>
              <w:spacing w:line="32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《中华人民共和国广告法》第四十六条  发布医疗、药品、医疗器械、农药、兽药和保健食品广告，以及法律、行政法规规定应当进行审查的其他广告，应当在发布前由有关部门（以下称广告审查机关）对广告内容进行审查；未经审查，不得发布。</w:t>
            </w:r>
          </w:p>
          <w:p w14:paraId="09E1BE29">
            <w:pPr>
              <w:tabs>
                <w:tab w:val="left" w:pos="790"/>
                <w:tab w:val="left" w:pos="1264"/>
              </w:tabs>
              <w:overflowPunct w:val="0"/>
              <w:adjustRightInd w:val="0"/>
              <w:snapToGrid w:val="0"/>
              <w:spacing w:line="32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第五十八条第一款第十四项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十四）违反本法第四十六条规定，未经审查发布广告的。</w:t>
            </w:r>
          </w:p>
        </w:tc>
        <w:tc>
          <w:tcPr>
            <w:tcW w:w="3151" w:type="dxa"/>
            <w:noWrap w:val="0"/>
            <w:vAlign w:val="center"/>
          </w:tcPr>
          <w:p w14:paraId="357816FD">
            <w:pPr>
              <w:tabs>
                <w:tab w:val="left" w:pos="790"/>
                <w:tab w:val="left" w:pos="1264"/>
              </w:tabs>
              <w:overflowPunct w:val="0"/>
              <w:adjustRightInd w:val="0"/>
              <w:snapToGrid w:val="0"/>
              <w:spacing w:line="32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
              </w:rPr>
              <w:t>．</w:t>
            </w:r>
            <w:r>
              <w:rPr>
                <w:rFonts w:hint="eastAsia" w:ascii="仿宋_GB2312" w:hAnsi="仿宋_GB2312" w:eastAsia="仿宋_GB2312" w:cs="仿宋_GB2312"/>
                <w:sz w:val="24"/>
                <w:szCs w:val="24"/>
                <w:highlight w:val="none"/>
              </w:rPr>
              <w:t>发布的广告已超过广告审批有效期但逾期未超过三个月；</w:t>
            </w:r>
          </w:p>
          <w:p w14:paraId="1CD03718">
            <w:pPr>
              <w:tabs>
                <w:tab w:val="left" w:pos="790"/>
                <w:tab w:val="left" w:pos="1264"/>
              </w:tabs>
              <w:overflowPunct w:val="0"/>
              <w:adjustRightInd w:val="0"/>
              <w:snapToGrid w:val="0"/>
              <w:spacing w:line="32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初次违法，及时改正，且没有造成危害后果</w:t>
            </w:r>
            <w:r>
              <w:rPr>
                <w:rFonts w:hint="eastAsia" w:ascii="仿宋_GB2312" w:hAnsi="仿宋_GB2312" w:eastAsia="仿宋_GB2312" w:cs="仿宋_GB2312"/>
                <w:sz w:val="24"/>
                <w:szCs w:val="24"/>
                <w:highlight w:val="none"/>
                <w:lang w:eastAsia="zh-CN"/>
              </w:rPr>
              <w:t>或者危害后果轻微</w:t>
            </w:r>
            <w:r>
              <w:rPr>
                <w:rFonts w:hint="eastAsia" w:ascii="仿宋_GB2312" w:hAnsi="仿宋_GB2312" w:eastAsia="仿宋_GB2312" w:cs="仿宋_GB2312"/>
                <w:sz w:val="24"/>
                <w:szCs w:val="24"/>
                <w:highlight w:val="none"/>
              </w:rPr>
              <w:t>。</w:t>
            </w:r>
          </w:p>
        </w:tc>
      </w:tr>
      <w:tr w14:paraId="68A81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14:paraId="3BDE9014">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5</w:t>
            </w:r>
          </w:p>
        </w:tc>
        <w:tc>
          <w:tcPr>
            <w:tcW w:w="2378" w:type="dxa"/>
            <w:noWrap w:val="0"/>
            <w:vAlign w:val="center"/>
          </w:tcPr>
          <w:p w14:paraId="1A1AF0B3">
            <w:pPr>
              <w:pStyle w:val="2"/>
              <w:ind w:left="0" w:leftChars="0" w:firstLine="0" w:firstLineChars="0"/>
              <w:rPr>
                <w:rFonts w:hint="eastAsia"/>
              </w:rPr>
            </w:pPr>
            <w:r>
              <w:rPr>
                <w:rFonts w:hint="eastAsia"/>
              </w:rPr>
              <w:t>广告中使用的引证内容未表明出处</w:t>
            </w:r>
          </w:p>
          <w:p w14:paraId="178D09CC">
            <w:pPr>
              <w:rPr>
                <w:rFonts w:hint="eastAsia"/>
                <w:lang w:eastAsia="zh-CN"/>
              </w:rPr>
            </w:pPr>
          </w:p>
        </w:tc>
        <w:tc>
          <w:tcPr>
            <w:tcW w:w="7938" w:type="dxa"/>
            <w:noWrap w:val="0"/>
            <w:vAlign w:val="center"/>
          </w:tcPr>
          <w:p w14:paraId="395720A4">
            <w:pPr>
              <w:tabs>
                <w:tab w:val="left" w:pos="790"/>
                <w:tab w:val="left" w:pos="1264"/>
              </w:tabs>
              <w:overflowPunct w:val="0"/>
              <w:adjustRightInd w:val="0"/>
              <w:snapToGrid w:val="0"/>
              <w:spacing w:line="32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《中华人民共和国广告法》第十一条第二款  广告使用数据、统计资料、调查结果、文摘、引用语等引证内容的，应当真实、准确，并表明出处。引证内容有适用范围和有效期限的，应当明确表示。</w:t>
            </w:r>
          </w:p>
          <w:p w14:paraId="5CFEF8F8">
            <w:pPr>
              <w:tabs>
                <w:tab w:val="left" w:pos="790"/>
                <w:tab w:val="left" w:pos="1264"/>
              </w:tabs>
              <w:overflowPunct w:val="0"/>
              <w:adjustRightInd w:val="0"/>
              <w:snapToGrid w:val="0"/>
              <w:spacing w:line="32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第五十九条第一款第二项  有下列行为之一的，由市场监督管理部门责令停止发布广告，对广告主处十万元以下的罚款：（二）广告引证内容违反本法第十一条规定的；</w:t>
            </w:r>
          </w:p>
        </w:tc>
        <w:tc>
          <w:tcPr>
            <w:tcW w:w="3151" w:type="dxa"/>
            <w:noWrap w:val="0"/>
            <w:vAlign w:val="center"/>
          </w:tcPr>
          <w:p w14:paraId="49310AB2">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
              </w:rPr>
              <w:t>．</w:t>
            </w:r>
            <w:r>
              <w:rPr>
                <w:rFonts w:hint="eastAsia" w:ascii="仿宋_GB2312" w:hAnsi="仿宋_GB2312" w:eastAsia="仿宋_GB2312" w:cs="仿宋_GB2312"/>
                <w:sz w:val="24"/>
                <w:szCs w:val="24"/>
                <w:highlight w:val="none"/>
              </w:rPr>
              <w:t>涉案广告引证内容合法有据；</w:t>
            </w:r>
          </w:p>
          <w:p w14:paraId="343C2DE6">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2.初次违法，及时改正，且没有造成危害后果</w:t>
            </w:r>
            <w:r>
              <w:rPr>
                <w:rFonts w:hint="eastAsia" w:ascii="仿宋_GB2312" w:hAnsi="仿宋_GB2312" w:eastAsia="仿宋_GB2312" w:cs="仿宋_GB2312"/>
                <w:sz w:val="24"/>
                <w:szCs w:val="24"/>
                <w:highlight w:val="none"/>
                <w:lang w:eastAsia="zh-CN"/>
              </w:rPr>
              <w:t>或者危害后果轻微</w:t>
            </w:r>
            <w:r>
              <w:rPr>
                <w:rFonts w:hint="eastAsia" w:ascii="仿宋_GB2312" w:hAnsi="仿宋_GB2312" w:eastAsia="仿宋_GB2312" w:cs="仿宋_GB2312"/>
                <w:sz w:val="24"/>
                <w:szCs w:val="24"/>
                <w:highlight w:val="none"/>
              </w:rPr>
              <w:t>。</w:t>
            </w:r>
          </w:p>
        </w:tc>
      </w:tr>
      <w:tr w14:paraId="36093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14:paraId="6C944D23">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6</w:t>
            </w:r>
          </w:p>
        </w:tc>
        <w:tc>
          <w:tcPr>
            <w:tcW w:w="2378" w:type="dxa"/>
            <w:noWrap w:val="0"/>
            <w:vAlign w:val="center"/>
          </w:tcPr>
          <w:p w14:paraId="434FF9A3">
            <w:pPr>
              <w:pStyle w:val="2"/>
              <w:ind w:left="0" w:leftChars="0" w:firstLine="0" w:firstLineChars="0"/>
              <w:rPr>
                <w:rFonts w:hint="eastAsia"/>
              </w:rPr>
            </w:pPr>
            <w:r>
              <w:rPr>
                <w:rFonts w:hint="eastAsia"/>
              </w:rPr>
              <w:t>广告中涉及专利产品或者专利方法，未标明专利号和专利种类</w:t>
            </w:r>
          </w:p>
          <w:p w14:paraId="3B611A5F">
            <w:pPr>
              <w:rPr>
                <w:rFonts w:hint="eastAsia"/>
                <w:lang w:eastAsia="zh-CN"/>
              </w:rPr>
            </w:pPr>
          </w:p>
        </w:tc>
        <w:tc>
          <w:tcPr>
            <w:tcW w:w="7938" w:type="dxa"/>
            <w:noWrap w:val="0"/>
            <w:vAlign w:val="center"/>
          </w:tcPr>
          <w:p w14:paraId="2607363B">
            <w:pPr>
              <w:tabs>
                <w:tab w:val="left" w:pos="790"/>
                <w:tab w:val="left" w:pos="1264"/>
              </w:tabs>
              <w:overflowPunct w:val="0"/>
              <w:adjustRightInd w:val="0"/>
              <w:snapToGrid w:val="0"/>
              <w:spacing w:line="32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《中华人民共和国广告法》第十二条第一款  广告中涉及专利产品或者专利方法的，应当标明专利号和专利种类。</w:t>
            </w:r>
          </w:p>
          <w:p w14:paraId="242ACF7A">
            <w:pPr>
              <w:tabs>
                <w:tab w:val="left" w:pos="790"/>
                <w:tab w:val="left" w:pos="1264"/>
              </w:tabs>
              <w:overflowPunct w:val="0"/>
              <w:adjustRightInd w:val="0"/>
              <w:snapToGrid w:val="0"/>
              <w:spacing w:line="32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第五十九条第一款第三项  有下列行为之一的，由市场监督管理部门责令停止发布广告，对广告主处十万元以下的罚款：（三）涉及专利的广告违反本法第十二条规定的；</w:t>
            </w:r>
          </w:p>
        </w:tc>
        <w:tc>
          <w:tcPr>
            <w:tcW w:w="3151" w:type="dxa"/>
            <w:noWrap w:val="0"/>
            <w:vAlign w:val="center"/>
          </w:tcPr>
          <w:p w14:paraId="39F7A4E6">
            <w:pPr>
              <w:tabs>
                <w:tab w:val="left" w:pos="790"/>
                <w:tab w:val="left" w:pos="1264"/>
              </w:tabs>
              <w:overflowPunct w:val="0"/>
              <w:adjustRightInd w:val="0"/>
              <w:snapToGrid w:val="0"/>
              <w:spacing w:line="320" w:lineRule="exact"/>
              <w:rPr>
                <w:rFonts w:hint="eastAsia" w:ascii="仿宋_GB2312" w:hAnsi="仿宋_GB2312" w:eastAsia="仿宋_GB2312" w:cs="仿宋_GB2312"/>
                <w:sz w:val="24"/>
                <w:szCs w:val="24"/>
                <w:highlight w:val="none"/>
                <w:lang w:val="en"/>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
              </w:rPr>
              <w:t>.</w:t>
            </w:r>
            <w:r>
              <w:rPr>
                <w:rFonts w:hint="eastAsia" w:ascii="仿宋_GB2312" w:hAnsi="仿宋_GB2312" w:eastAsia="仿宋_GB2312" w:cs="仿宋_GB2312"/>
                <w:sz w:val="24"/>
                <w:szCs w:val="24"/>
                <w:highlight w:val="none"/>
              </w:rPr>
              <w:t>具备合法有效专利证明；</w:t>
            </w:r>
          </w:p>
          <w:p w14:paraId="0340579D">
            <w:pPr>
              <w:rPr>
                <w:rFonts w:hint="eastAsia" w:ascii="仿宋_GB2312" w:hAnsi="仿宋_GB2312" w:eastAsia="仿宋_GB2312" w:cs="仿宋_GB2312"/>
                <w:sz w:val="24"/>
                <w:szCs w:val="24"/>
                <w:highlight w:val="none"/>
                <w:lang w:val="en"/>
              </w:rPr>
            </w:pPr>
            <w:r>
              <w:rPr>
                <w:rFonts w:hint="eastAsia" w:ascii="仿宋_GB2312" w:hAnsi="仿宋_GB2312" w:eastAsia="仿宋_GB2312" w:cs="仿宋_GB2312"/>
                <w:sz w:val="24"/>
                <w:szCs w:val="24"/>
                <w:highlight w:val="none"/>
              </w:rPr>
              <w:t>2.初次违法，及时改正，且没有造成危害后果</w:t>
            </w:r>
            <w:r>
              <w:rPr>
                <w:rFonts w:hint="eastAsia" w:ascii="仿宋_GB2312" w:hAnsi="仿宋_GB2312" w:eastAsia="仿宋_GB2312" w:cs="仿宋_GB2312"/>
                <w:sz w:val="24"/>
                <w:szCs w:val="24"/>
                <w:highlight w:val="none"/>
                <w:lang w:eastAsia="zh-CN"/>
              </w:rPr>
              <w:t>或者危害后果轻微</w:t>
            </w:r>
            <w:r>
              <w:rPr>
                <w:rFonts w:hint="eastAsia" w:ascii="仿宋_GB2312" w:hAnsi="仿宋_GB2312" w:eastAsia="仿宋_GB2312" w:cs="仿宋_GB2312"/>
                <w:sz w:val="24"/>
                <w:szCs w:val="24"/>
                <w:highlight w:val="none"/>
              </w:rPr>
              <w:t>。</w:t>
            </w:r>
          </w:p>
        </w:tc>
      </w:tr>
      <w:tr w14:paraId="13E98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14:paraId="28BDBBBF">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7</w:t>
            </w:r>
          </w:p>
        </w:tc>
        <w:tc>
          <w:tcPr>
            <w:tcW w:w="2378" w:type="dxa"/>
            <w:noWrap w:val="0"/>
            <w:vAlign w:val="center"/>
          </w:tcPr>
          <w:p w14:paraId="651F0E5B">
            <w:pPr>
              <w:pStyle w:val="2"/>
              <w:ind w:left="0" w:leftChars="0" w:firstLine="0" w:firstLineChars="0"/>
              <w:rPr>
                <w:rFonts w:hint="eastAsia"/>
              </w:rPr>
            </w:pPr>
            <w:r>
              <w:rPr>
                <w:rFonts w:hint="eastAsia"/>
              </w:rPr>
              <w:t>使用已经终止的专利作广告</w:t>
            </w:r>
          </w:p>
          <w:p w14:paraId="2AC0A912">
            <w:pPr>
              <w:rPr>
                <w:rFonts w:hint="eastAsia"/>
              </w:rPr>
            </w:pPr>
          </w:p>
        </w:tc>
        <w:tc>
          <w:tcPr>
            <w:tcW w:w="7938" w:type="dxa"/>
            <w:noWrap w:val="0"/>
            <w:vAlign w:val="center"/>
          </w:tcPr>
          <w:p w14:paraId="3444CEFD">
            <w:pPr>
              <w:tabs>
                <w:tab w:val="left" w:pos="790"/>
                <w:tab w:val="left" w:pos="1264"/>
              </w:tabs>
              <w:overflowPunct w:val="0"/>
              <w:adjustRightInd w:val="0"/>
              <w:snapToGrid w:val="0"/>
              <w:spacing w:line="32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《中华人民共和国广告法》第十二条第三款  禁止使用未授予专利权的专利申请和已经终止、撤销、无效的专利作广告。</w:t>
            </w:r>
          </w:p>
          <w:p w14:paraId="4351995E">
            <w:pPr>
              <w:tabs>
                <w:tab w:val="left" w:pos="790"/>
                <w:tab w:val="left" w:pos="1264"/>
              </w:tabs>
              <w:overflowPunct w:val="0"/>
              <w:adjustRightInd w:val="0"/>
              <w:snapToGrid w:val="0"/>
              <w:spacing w:line="32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第五十九条第一款第三项  有下列行为之一的，由市场监督管理部门责令停止发布广告，对广告主处十万元以下的罚款：（三）涉及专利的广告违反本法第十二条规定的。</w:t>
            </w:r>
          </w:p>
        </w:tc>
        <w:tc>
          <w:tcPr>
            <w:tcW w:w="3151" w:type="dxa"/>
            <w:noWrap w:val="0"/>
            <w:vAlign w:val="center"/>
          </w:tcPr>
          <w:p w14:paraId="0ECAD85E">
            <w:pPr>
              <w:tabs>
                <w:tab w:val="left" w:pos="790"/>
                <w:tab w:val="left" w:pos="1264"/>
              </w:tabs>
              <w:overflowPunct w:val="0"/>
              <w:adjustRightInd w:val="0"/>
              <w:snapToGrid w:val="0"/>
              <w:spacing w:line="320" w:lineRule="exact"/>
              <w:rPr>
                <w:rFonts w:hint="eastAsia" w:ascii="仿宋_GB2312" w:hAnsi="仿宋_GB2312" w:eastAsia="仿宋_GB2312" w:cs="仿宋_GB2312"/>
                <w:sz w:val="24"/>
                <w:szCs w:val="24"/>
                <w:highlight w:val="none"/>
                <w:lang w:val="en"/>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
              </w:rPr>
              <w:t>．</w:t>
            </w:r>
            <w:r>
              <w:rPr>
                <w:rFonts w:hint="eastAsia" w:ascii="仿宋_GB2312" w:hAnsi="仿宋_GB2312" w:eastAsia="仿宋_GB2312" w:cs="仿宋_GB2312"/>
                <w:sz w:val="24"/>
                <w:szCs w:val="24"/>
                <w:highlight w:val="none"/>
              </w:rPr>
              <w:t>广告是在广告主自有经营场所或者互联网自媒体发布；</w:t>
            </w:r>
          </w:p>
          <w:p w14:paraId="37124723">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r>
              <w:rPr>
                <w:rFonts w:hint="eastAsia" w:ascii="仿宋_GB2312" w:hAnsi="仿宋_GB2312" w:eastAsia="仿宋_GB2312" w:cs="仿宋_GB2312"/>
                <w:sz w:val="24"/>
                <w:szCs w:val="24"/>
                <w:highlight w:val="none"/>
                <w:lang w:val="en"/>
              </w:rPr>
              <w:t>．</w:t>
            </w:r>
            <w:r>
              <w:rPr>
                <w:rFonts w:hint="eastAsia" w:ascii="仿宋_GB2312" w:hAnsi="仿宋_GB2312" w:eastAsia="仿宋_GB2312" w:cs="仿宋_GB2312"/>
                <w:sz w:val="24"/>
                <w:szCs w:val="24"/>
                <w:highlight w:val="none"/>
              </w:rPr>
              <w:t>初次违法，及时改正，且没有造成危害后果</w:t>
            </w:r>
            <w:r>
              <w:rPr>
                <w:rFonts w:hint="eastAsia" w:ascii="仿宋_GB2312" w:hAnsi="仿宋_GB2312" w:eastAsia="仿宋_GB2312" w:cs="仿宋_GB2312"/>
                <w:sz w:val="24"/>
                <w:szCs w:val="24"/>
                <w:highlight w:val="none"/>
                <w:lang w:eastAsia="zh-CN"/>
              </w:rPr>
              <w:t>或者危害后果轻微</w:t>
            </w:r>
            <w:r>
              <w:rPr>
                <w:rFonts w:hint="eastAsia" w:ascii="仿宋_GB2312" w:hAnsi="仿宋_GB2312" w:eastAsia="仿宋_GB2312" w:cs="仿宋_GB2312"/>
                <w:sz w:val="24"/>
                <w:szCs w:val="24"/>
                <w:highlight w:val="none"/>
              </w:rPr>
              <w:t>。</w:t>
            </w:r>
          </w:p>
        </w:tc>
      </w:tr>
      <w:tr w14:paraId="05ABB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14:paraId="69B7C61C">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8</w:t>
            </w:r>
          </w:p>
        </w:tc>
        <w:tc>
          <w:tcPr>
            <w:tcW w:w="2378" w:type="dxa"/>
            <w:noWrap w:val="0"/>
            <w:vAlign w:val="center"/>
          </w:tcPr>
          <w:p w14:paraId="60A2D31F">
            <w:pPr>
              <w:pStyle w:val="2"/>
              <w:ind w:left="0" w:leftChars="0" w:firstLine="0" w:firstLineChars="0"/>
              <w:rPr>
                <w:rFonts w:hint="eastAsia"/>
              </w:rPr>
            </w:pPr>
            <w:r>
              <w:rPr>
                <w:rFonts w:hint="eastAsia"/>
              </w:rPr>
              <w:t>通过大众传播媒介发布的广告未显著标明“广告”字样</w:t>
            </w:r>
          </w:p>
          <w:p w14:paraId="376288CB">
            <w:pPr>
              <w:rPr>
                <w:rFonts w:hint="eastAsia"/>
              </w:rPr>
            </w:pPr>
          </w:p>
        </w:tc>
        <w:tc>
          <w:tcPr>
            <w:tcW w:w="7938" w:type="dxa"/>
            <w:noWrap w:val="0"/>
            <w:vAlign w:val="center"/>
          </w:tcPr>
          <w:p w14:paraId="4CB9A622">
            <w:pPr>
              <w:tabs>
                <w:tab w:val="left" w:pos="790"/>
                <w:tab w:val="left" w:pos="1264"/>
              </w:tabs>
              <w:overflowPunct w:val="0"/>
              <w:adjustRightInd w:val="0"/>
              <w:snapToGrid w:val="0"/>
              <w:spacing w:line="32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《中华人民共和国广告法》第十四条第二款  大众传播媒介不得以新闻报道形式变相发布广告。通过大众传播媒介发布的广告应当显著标明“广告”，与其他非广告信息相区别，不得使消费者产生误解。</w:t>
            </w:r>
          </w:p>
          <w:p w14:paraId="007CC34C">
            <w:pPr>
              <w:tabs>
                <w:tab w:val="left" w:pos="790"/>
                <w:tab w:val="left" w:pos="1264"/>
              </w:tabs>
              <w:overflowPunct w:val="0"/>
              <w:adjustRightInd w:val="0"/>
              <w:snapToGrid w:val="0"/>
              <w:spacing w:line="32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第五十九条第三款  广告违反本法第十四条规定，不具有可识别性的，或者违反本法第十九条规定，变相发布医疗、药品、医疗器械、保健食品广告的，由市场监督管理部门责令改正，对广告发布者处十万元以下的罚款。</w:t>
            </w:r>
          </w:p>
        </w:tc>
        <w:tc>
          <w:tcPr>
            <w:tcW w:w="3151" w:type="dxa"/>
            <w:noWrap w:val="0"/>
            <w:vAlign w:val="center"/>
          </w:tcPr>
          <w:p w14:paraId="2242DD2E">
            <w:pP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1.初次违法；</w:t>
            </w:r>
          </w:p>
          <w:p w14:paraId="5C86971A">
            <w:pP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2.没有造成危害后果或者危害后果轻微；</w:t>
            </w:r>
          </w:p>
          <w:p w14:paraId="16D35B87">
            <w:pPr>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color w:val="auto"/>
                <w:kern w:val="0"/>
                <w:sz w:val="24"/>
                <w:szCs w:val="24"/>
                <w:highlight w:val="none"/>
                <w:u w:val="none"/>
                <w:lang w:val="en-US" w:eastAsia="zh-CN" w:bidi="ar"/>
              </w:rPr>
              <w:t>3.及时改正。</w:t>
            </w:r>
          </w:p>
        </w:tc>
      </w:tr>
      <w:tr w14:paraId="6A849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14:paraId="72D1BB91">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9</w:t>
            </w:r>
          </w:p>
        </w:tc>
        <w:tc>
          <w:tcPr>
            <w:tcW w:w="2378" w:type="dxa"/>
            <w:noWrap w:val="0"/>
            <w:vAlign w:val="center"/>
          </w:tcPr>
          <w:p w14:paraId="126EAB34">
            <w:pPr>
              <w:pStyle w:val="2"/>
              <w:ind w:left="0" w:leftChars="0" w:firstLine="0" w:firstLineChars="0"/>
              <w:rPr>
                <w:rFonts w:hint="eastAsia"/>
              </w:rPr>
            </w:pPr>
            <w:r>
              <w:rPr>
                <w:rFonts w:hint="eastAsia"/>
              </w:rPr>
              <w:t>发布互联网广告不具有可识别性，不能使消费者辨明其为广告</w:t>
            </w:r>
          </w:p>
          <w:p w14:paraId="7103F2C7">
            <w:pPr>
              <w:rPr>
                <w:rFonts w:hint="eastAsia"/>
              </w:rPr>
            </w:pPr>
          </w:p>
        </w:tc>
        <w:tc>
          <w:tcPr>
            <w:tcW w:w="7938" w:type="dxa"/>
            <w:noWrap w:val="0"/>
            <w:vAlign w:val="center"/>
          </w:tcPr>
          <w:p w14:paraId="7CD3277E">
            <w:pPr>
              <w:tabs>
                <w:tab w:val="left" w:pos="790"/>
                <w:tab w:val="left" w:pos="1264"/>
              </w:tabs>
              <w:overflowPunct w:val="0"/>
              <w:adjustRightInd w:val="0"/>
              <w:snapToGrid w:val="0"/>
              <w:spacing w:line="32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《互联网广告管理办法》第九条  互联网广告应当具有可识别性，能够使消费者辨明其为广告。</w:t>
            </w:r>
          </w:p>
          <w:p w14:paraId="1E151528">
            <w:pPr>
              <w:tabs>
                <w:tab w:val="left" w:pos="790"/>
                <w:tab w:val="left" w:pos="1264"/>
              </w:tabs>
              <w:overflowPunct w:val="0"/>
              <w:adjustRightInd w:val="0"/>
              <w:snapToGrid w:val="0"/>
              <w:spacing w:line="32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对于竞价排名的商品或者服务，广告发布者应当显著标明“广告”，与自然搜索结果明显区分。</w:t>
            </w:r>
          </w:p>
          <w:p w14:paraId="5C29004A">
            <w:pPr>
              <w:tabs>
                <w:tab w:val="left" w:pos="790"/>
                <w:tab w:val="left" w:pos="1264"/>
              </w:tabs>
              <w:overflowPunct w:val="0"/>
              <w:adjustRightInd w:val="0"/>
              <w:snapToGrid w:val="0"/>
              <w:spacing w:line="32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除法律、行政法规禁止发布或者变相发布广告的情形外，通过知识介绍、体验分享、消费测评等形式推销商品或者服务，并附加购物链接等购买方式的，广告发布者应当显著标明“广告”。</w:t>
            </w:r>
          </w:p>
          <w:p w14:paraId="4D689731">
            <w:pPr>
              <w:tabs>
                <w:tab w:val="left" w:pos="790"/>
                <w:tab w:val="left" w:pos="1264"/>
              </w:tabs>
              <w:overflowPunct w:val="0"/>
              <w:adjustRightInd w:val="0"/>
              <w:snapToGrid w:val="0"/>
              <w:spacing w:line="320" w:lineRule="exact"/>
              <w:rPr>
                <w:rFonts w:hint="eastAsia" w:ascii="仿宋_GB2312" w:hAnsi="仿宋_GB2312" w:eastAsia="仿宋_GB2312" w:cs="仿宋_GB2312"/>
                <w:sz w:val="24"/>
                <w:szCs w:val="24"/>
                <w:highlight w:val="none"/>
                <w:lang w:val="en"/>
              </w:rPr>
            </w:pPr>
            <w:r>
              <w:rPr>
                <w:rFonts w:hint="eastAsia" w:ascii="仿宋_GB2312" w:hAnsi="仿宋_GB2312" w:eastAsia="仿宋_GB2312" w:cs="仿宋_GB2312"/>
                <w:sz w:val="24"/>
                <w:szCs w:val="24"/>
                <w:highlight w:val="none"/>
              </w:rPr>
              <w:t>第二十五条  违反本办法第八条、第九条规定，变相发布医疗、药品、医疗器械、保健食品、特殊医学用途配方食品广告，或者互联网广告不具有可识别性的，依照广告法第五十九条第三款规定予以处罚。</w:t>
            </w:r>
          </w:p>
          <w:p w14:paraId="64B869B0">
            <w:pPr>
              <w:tabs>
                <w:tab w:val="left" w:pos="790"/>
                <w:tab w:val="left" w:pos="1264"/>
              </w:tabs>
              <w:overflowPunct w:val="0"/>
              <w:adjustRightInd w:val="0"/>
              <w:snapToGrid w:val="0"/>
              <w:spacing w:line="32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《中华人民共和国广告法》第五十九条第三款  广告违反本法第十四条规定，不具有可识别性的，或者违反本法第十九条规定，变相发布医疗、药品、医疗器械、保健食品广告的，由市场监督管理部门责令改正，对广告发布者处十万元以下的罚款。</w:t>
            </w:r>
          </w:p>
        </w:tc>
        <w:tc>
          <w:tcPr>
            <w:tcW w:w="3151" w:type="dxa"/>
            <w:noWrap w:val="0"/>
            <w:vAlign w:val="center"/>
          </w:tcPr>
          <w:p w14:paraId="7701929E">
            <w:pP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1.初次违法；</w:t>
            </w:r>
          </w:p>
          <w:p w14:paraId="39014AF6">
            <w:pP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2.没有造成危害后果或者危害后果轻微；</w:t>
            </w:r>
          </w:p>
          <w:p w14:paraId="7BFFF047">
            <w:pPr>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color w:val="auto"/>
                <w:kern w:val="0"/>
                <w:sz w:val="24"/>
                <w:szCs w:val="24"/>
                <w:highlight w:val="none"/>
                <w:u w:val="none"/>
                <w:lang w:val="en-US" w:eastAsia="zh-CN" w:bidi="ar"/>
              </w:rPr>
              <w:t>3.及时改正。</w:t>
            </w:r>
          </w:p>
        </w:tc>
      </w:tr>
      <w:tr w14:paraId="067C8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14:paraId="4065446C">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10</w:t>
            </w:r>
          </w:p>
        </w:tc>
        <w:tc>
          <w:tcPr>
            <w:tcW w:w="2378" w:type="dxa"/>
            <w:noWrap w:val="0"/>
            <w:vAlign w:val="center"/>
          </w:tcPr>
          <w:p w14:paraId="3BA0B532">
            <w:pPr>
              <w:pStyle w:val="2"/>
              <w:ind w:left="0" w:leftChars="0" w:firstLine="0" w:firstLineChars="0"/>
              <w:rPr>
                <w:rFonts w:hint="eastAsia"/>
              </w:rPr>
            </w:pPr>
            <w:r>
              <w:rPr>
                <w:rFonts w:hint="eastAsia"/>
              </w:rPr>
              <w:t>广告经营者、广告发布者未按照国家有关规定建立、健全广告业务的承接登记、审核、档案管理制度</w:t>
            </w:r>
          </w:p>
          <w:p w14:paraId="6B5E9ABB">
            <w:pPr>
              <w:rPr>
                <w:rFonts w:hint="eastAsia"/>
                <w:lang w:eastAsia="zh-CN"/>
              </w:rPr>
            </w:pPr>
          </w:p>
        </w:tc>
        <w:tc>
          <w:tcPr>
            <w:tcW w:w="7938" w:type="dxa"/>
            <w:noWrap w:val="0"/>
            <w:vAlign w:val="center"/>
          </w:tcPr>
          <w:p w14:paraId="33B3AB81">
            <w:pPr>
              <w:tabs>
                <w:tab w:val="left" w:pos="790"/>
                <w:tab w:val="left" w:pos="1264"/>
              </w:tabs>
              <w:overflowPunct w:val="0"/>
              <w:adjustRightInd w:val="0"/>
              <w:snapToGrid w:val="0"/>
              <w:spacing w:line="32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《中华人民共和国广告法》第三十四条第一款  广告经营者、广告发布者应当按照国家有关规定，建立、健全广告业务的承接登记、审核、档案管理制度。</w:t>
            </w:r>
          </w:p>
          <w:p w14:paraId="4015F72A">
            <w:pPr>
              <w:tabs>
                <w:tab w:val="left" w:pos="790"/>
                <w:tab w:val="left" w:pos="1264"/>
              </w:tabs>
              <w:overflowPunct w:val="0"/>
              <w:adjustRightInd w:val="0"/>
              <w:snapToGrid w:val="0"/>
              <w:spacing w:line="32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第六十条第一款  违反本法第三十四条规定，广告经营者、广告发布者未按照国家有关规定建立、健全广告业务管理制度的，或者未对广告内容进行核对的，由市场监督管理部门责令改正，可以处五万元以下的罚款。</w:t>
            </w:r>
          </w:p>
        </w:tc>
        <w:tc>
          <w:tcPr>
            <w:tcW w:w="3151" w:type="dxa"/>
            <w:noWrap w:val="0"/>
            <w:vAlign w:val="center"/>
          </w:tcPr>
          <w:p w14:paraId="06543298">
            <w:pPr>
              <w:tabs>
                <w:tab w:val="left" w:pos="790"/>
                <w:tab w:val="left" w:pos="1264"/>
              </w:tabs>
              <w:overflowPunct w:val="0"/>
              <w:adjustRightInd w:val="0"/>
              <w:snapToGrid w:val="0"/>
              <w:spacing w:line="320" w:lineRule="exact"/>
              <w:rPr>
                <w:rFonts w:hint="eastAsia" w:ascii="仿宋_GB2312" w:hAnsi="仿宋_GB2312" w:eastAsia="仿宋_GB2312" w:cs="仿宋_GB2312"/>
                <w:sz w:val="24"/>
                <w:szCs w:val="24"/>
                <w:highlight w:val="none"/>
                <w:lang w:val="en"/>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
              </w:rPr>
              <w:t>．</w:t>
            </w:r>
            <w:r>
              <w:rPr>
                <w:rFonts w:hint="eastAsia" w:ascii="仿宋_GB2312" w:hAnsi="仿宋_GB2312" w:eastAsia="仿宋_GB2312" w:cs="仿宋_GB2312"/>
                <w:sz w:val="24"/>
                <w:szCs w:val="24"/>
                <w:highlight w:val="none"/>
              </w:rPr>
              <w:t>违法行为持续时间未超过三个月；</w:t>
            </w:r>
          </w:p>
          <w:p w14:paraId="0B5BB891">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r>
              <w:rPr>
                <w:rFonts w:hint="eastAsia" w:ascii="仿宋_GB2312" w:hAnsi="仿宋_GB2312" w:eastAsia="仿宋_GB2312" w:cs="仿宋_GB2312"/>
                <w:sz w:val="24"/>
                <w:szCs w:val="24"/>
                <w:highlight w:val="none"/>
                <w:lang w:val="en"/>
              </w:rPr>
              <w:t>．</w:t>
            </w:r>
            <w:r>
              <w:rPr>
                <w:rFonts w:hint="eastAsia" w:ascii="仿宋_GB2312" w:hAnsi="仿宋_GB2312" w:eastAsia="仿宋_GB2312" w:cs="仿宋_GB2312"/>
                <w:sz w:val="24"/>
                <w:szCs w:val="24"/>
                <w:highlight w:val="none"/>
              </w:rPr>
              <w:t>初次违法，及时改正，且没有造成危害后果</w:t>
            </w:r>
            <w:r>
              <w:rPr>
                <w:rFonts w:hint="eastAsia" w:ascii="仿宋_GB2312" w:hAnsi="仿宋_GB2312" w:eastAsia="仿宋_GB2312" w:cs="仿宋_GB2312"/>
                <w:sz w:val="24"/>
                <w:szCs w:val="24"/>
                <w:highlight w:val="none"/>
                <w:lang w:eastAsia="zh-CN"/>
              </w:rPr>
              <w:t>或者危害后果轻微</w:t>
            </w:r>
            <w:r>
              <w:rPr>
                <w:rFonts w:hint="eastAsia" w:ascii="仿宋_GB2312" w:hAnsi="仿宋_GB2312" w:eastAsia="仿宋_GB2312" w:cs="仿宋_GB2312"/>
                <w:sz w:val="24"/>
                <w:szCs w:val="24"/>
                <w:highlight w:val="none"/>
              </w:rPr>
              <w:t>。</w:t>
            </w:r>
          </w:p>
        </w:tc>
      </w:tr>
      <w:tr w14:paraId="47ADB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14:paraId="02F330CB">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11</w:t>
            </w:r>
          </w:p>
        </w:tc>
        <w:tc>
          <w:tcPr>
            <w:tcW w:w="2378" w:type="dxa"/>
            <w:noWrap w:val="0"/>
            <w:vAlign w:val="center"/>
          </w:tcPr>
          <w:p w14:paraId="7223C112">
            <w:pPr>
              <w:pStyle w:val="2"/>
              <w:ind w:left="0" w:leftChars="0" w:firstLine="0" w:firstLineChars="0"/>
              <w:rPr>
                <w:rFonts w:hint="eastAsia"/>
              </w:rPr>
            </w:pPr>
            <w:r>
              <w:rPr>
                <w:rFonts w:hint="eastAsia"/>
                <w:lang w:eastAsia="zh-CN"/>
              </w:rPr>
              <w:t>发布</w:t>
            </w:r>
            <w:r>
              <w:rPr>
                <w:rFonts w:hint="eastAsia"/>
              </w:rPr>
              <w:t>虚假广告</w:t>
            </w:r>
          </w:p>
          <w:p w14:paraId="690EFA08">
            <w:pPr>
              <w:rPr>
                <w:rFonts w:hint="eastAsia"/>
                <w:lang w:eastAsia="zh-CN"/>
              </w:rPr>
            </w:pPr>
          </w:p>
        </w:tc>
        <w:tc>
          <w:tcPr>
            <w:tcW w:w="7938" w:type="dxa"/>
            <w:noWrap w:val="0"/>
            <w:vAlign w:val="center"/>
          </w:tcPr>
          <w:p w14:paraId="47DBD2A6">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highlight w:val="none"/>
                <w:lang w:val="en-US" w:eastAsia="zh-CN"/>
              </w:rPr>
            </w:pPr>
            <w:r>
              <w:rPr>
                <w:rFonts w:hint="eastAsia" w:ascii="仿宋_GB2312" w:hAnsi="仿宋_GB2312" w:eastAsia="仿宋_GB2312" w:cs="仿宋_GB2312"/>
                <w:kern w:val="2"/>
                <w:sz w:val="24"/>
                <w:szCs w:val="24"/>
                <w:highlight w:val="none"/>
                <w:lang w:val="en-US" w:eastAsia="zh-CN"/>
              </w:rPr>
              <w:t>《</w:t>
            </w:r>
            <w:r>
              <w:rPr>
                <w:rFonts w:hint="eastAsia" w:ascii="仿宋_GB2312" w:hAnsi="仿宋_GB2312" w:eastAsia="仿宋_GB2312" w:cs="仿宋_GB2312"/>
                <w:sz w:val="24"/>
                <w:szCs w:val="24"/>
                <w:highlight w:val="none"/>
              </w:rPr>
              <w:t>中华人民共和国</w:t>
            </w:r>
            <w:r>
              <w:rPr>
                <w:rFonts w:hint="eastAsia" w:ascii="仿宋_GB2312" w:hAnsi="仿宋_GB2312" w:eastAsia="仿宋_GB2312" w:cs="仿宋_GB2312"/>
                <w:kern w:val="2"/>
                <w:sz w:val="24"/>
                <w:szCs w:val="24"/>
                <w:highlight w:val="none"/>
                <w:lang w:val="en-US" w:eastAsia="zh-CN"/>
              </w:rPr>
              <w:t>广告法》第四条第一款  广告不得含有虚假或者引人误解的内容，不得欺骗、误导消费者。</w:t>
            </w:r>
          </w:p>
          <w:p w14:paraId="1635804F">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highlight w:val="none"/>
                <w:lang w:val="en-US" w:eastAsia="zh-CN"/>
              </w:rPr>
            </w:pPr>
            <w:r>
              <w:rPr>
                <w:rFonts w:hint="eastAsia" w:ascii="仿宋_GB2312" w:hAnsi="仿宋_GB2312" w:eastAsia="仿宋_GB2312" w:cs="仿宋_GB2312"/>
                <w:kern w:val="2"/>
                <w:sz w:val="24"/>
                <w:szCs w:val="24"/>
                <w:highlight w:val="none"/>
                <w:lang w:val="en-US" w:eastAsia="zh-CN"/>
              </w:rPr>
              <w:t>第二十八条  广告以虚假或者引人误解的内容欺骗、误导消费者的，构成虚假广告。</w:t>
            </w:r>
          </w:p>
          <w:p w14:paraId="0DD4A294">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highlight w:val="none"/>
                <w:lang w:val="en-US" w:eastAsia="zh-CN"/>
              </w:rPr>
            </w:pPr>
            <w:r>
              <w:rPr>
                <w:rFonts w:hint="eastAsia" w:ascii="仿宋_GB2312" w:hAnsi="仿宋_GB2312" w:eastAsia="仿宋_GB2312" w:cs="仿宋_GB2312"/>
                <w:kern w:val="2"/>
                <w:sz w:val="24"/>
                <w:szCs w:val="24"/>
                <w:highlight w:val="none"/>
                <w:lang w:val="en-US" w:eastAsia="zh-CN"/>
              </w:rPr>
              <w:t>广告有下列情形之一的，为虚假广告：（一）商品或者服务不存在的；（二）商品的性能、功能、产地、用途、质量、规格、成分、价格、生产者、有效期限、销售状况、曾获荣誉等信息，或者服务的内容、提供者、形式、质量、价格、销售状况、曾获荣誉等信息，以及与商品或者服务有关的允诺等信息与实际情况不符，对购买行为有实质性影响的；（三）使用虚构、伪造或者无法验证的科研成果、统计资料、调查结果、文摘、引用语等信息作证明材料的；（四）虚构使用商品或者接受服务的效果的；（五）以虚假或者引人误解的内容欺骗、误导消费者的其他情形。</w:t>
            </w:r>
          </w:p>
          <w:p w14:paraId="54CE503F">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highlight w:val="none"/>
                <w:lang w:val="en-US" w:eastAsia="zh-CN"/>
              </w:rPr>
              <w:t>第五十五条第一款  违反本法规定，发布虚假广告的，由市场监督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w:t>
            </w:r>
          </w:p>
        </w:tc>
        <w:tc>
          <w:tcPr>
            <w:tcW w:w="3151" w:type="dxa"/>
            <w:noWrap w:val="0"/>
            <w:vAlign w:val="center"/>
          </w:tcPr>
          <w:p w14:paraId="666DCC90">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.涉案广告</w:t>
            </w:r>
            <w:r>
              <w:rPr>
                <w:rFonts w:hint="eastAsia" w:ascii="仿宋_GB2312" w:hAnsi="仿宋_GB2312" w:eastAsia="仿宋_GB2312" w:cs="仿宋_GB2312"/>
                <w:sz w:val="24"/>
                <w:szCs w:val="24"/>
                <w:highlight w:val="none"/>
                <w:lang w:eastAsia="zh-CN"/>
              </w:rPr>
              <w:t>系</w:t>
            </w:r>
            <w:r>
              <w:rPr>
                <w:rFonts w:hint="eastAsia" w:ascii="仿宋_GB2312" w:hAnsi="仿宋_GB2312" w:eastAsia="仿宋_GB2312" w:cs="仿宋_GB2312"/>
                <w:sz w:val="24"/>
                <w:szCs w:val="24"/>
                <w:highlight w:val="none"/>
              </w:rPr>
              <w:t>广告主通过</w:t>
            </w:r>
            <w:r>
              <w:rPr>
                <w:rFonts w:hint="eastAsia" w:ascii="仿宋_GB2312" w:hAnsi="仿宋_GB2312" w:eastAsia="仿宋_GB2312" w:cs="仿宋_GB2312"/>
                <w:sz w:val="24"/>
                <w:szCs w:val="24"/>
                <w:highlight w:val="none"/>
                <w:lang w:eastAsia="zh-CN"/>
              </w:rPr>
              <w:t>其</w:t>
            </w:r>
            <w:r>
              <w:rPr>
                <w:rFonts w:hint="eastAsia" w:ascii="仿宋_GB2312" w:hAnsi="仿宋_GB2312" w:eastAsia="仿宋_GB2312" w:cs="仿宋_GB2312"/>
                <w:sz w:val="24"/>
                <w:szCs w:val="24"/>
                <w:highlight w:val="none"/>
              </w:rPr>
              <w:t>经营场所</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互联网自媒体、宣传单等自行发布；</w:t>
            </w:r>
          </w:p>
          <w:p w14:paraId="0ECEA4DD">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.违法行为持续时间较短，或浏览人数较少；</w:t>
            </w:r>
          </w:p>
          <w:p w14:paraId="516645C3">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.初次违法，及时改正，且没有造成危害后果</w:t>
            </w:r>
            <w:r>
              <w:rPr>
                <w:rFonts w:hint="eastAsia" w:ascii="仿宋_GB2312" w:hAnsi="仿宋_GB2312" w:eastAsia="仿宋_GB2312" w:cs="仿宋_GB2312"/>
                <w:sz w:val="24"/>
                <w:szCs w:val="24"/>
                <w:highlight w:val="none"/>
                <w:lang w:eastAsia="zh-CN"/>
              </w:rPr>
              <w:t>或者危害后果轻微</w:t>
            </w:r>
            <w:r>
              <w:rPr>
                <w:rFonts w:hint="eastAsia" w:ascii="仿宋_GB2312" w:hAnsi="仿宋_GB2312" w:eastAsia="仿宋_GB2312" w:cs="仿宋_GB2312"/>
                <w:sz w:val="24"/>
                <w:szCs w:val="24"/>
                <w:highlight w:val="none"/>
              </w:rPr>
              <w:t>。</w:t>
            </w:r>
          </w:p>
        </w:tc>
      </w:tr>
      <w:tr w14:paraId="23249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14:paraId="22F1C249">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12</w:t>
            </w:r>
          </w:p>
        </w:tc>
        <w:tc>
          <w:tcPr>
            <w:tcW w:w="2378" w:type="dxa"/>
            <w:noWrap w:val="0"/>
            <w:vAlign w:val="center"/>
          </w:tcPr>
          <w:p w14:paraId="02D27814">
            <w:pPr>
              <w:pStyle w:val="2"/>
              <w:ind w:left="0" w:leftChars="0" w:firstLine="0" w:firstLineChars="0"/>
              <w:rPr>
                <w:rFonts w:hint="eastAsia"/>
                <w:lang w:eastAsia="zh-CN"/>
              </w:rPr>
            </w:pPr>
            <w:r>
              <w:rPr>
                <w:rFonts w:hint="eastAsia"/>
                <w:lang w:eastAsia="zh-CN"/>
              </w:rPr>
              <w:t>在广告中涉及疾病治疗功能，以及使用医疗用语或者易使推销的商品与药品、医疗器械相混淆的用语</w:t>
            </w:r>
          </w:p>
          <w:p w14:paraId="251AC91D">
            <w:pPr>
              <w:rPr>
                <w:rFonts w:hint="eastAsia"/>
                <w:lang w:val="en-US" w:eastAsia="zh-CN"/>
              </w:rPr>
            </w:pPr>
          </w:p>
        </w:tc>
        <w:tc>
          <w:tcPr>
            <w:tcW w:w="7938" w:type="dxa"/>
            <w:noWrap w:val="0"/>
            <w:vAlign w:val="center"/>
          </w:tcPr>
          <w:p w14:paraId="3938C327">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highlight w:val="none"/>
                <w:lang w:val="en-US" w:eastAsia="zh-CN"/>
              </w:rPr>
            </w:pPr>
            <w:r>
              <w:rPr>
                <w:rFonts w:hint="eastAsia" w:ascii="仿宋_GB2312" w:hAnsi="仿宋_GB2312" w:eastAsia="仿宋_GB2312" w:cs="仿宋_GB2312"/>
                <w:kern w:val="2"/>
                <w:sz w:val="24"/>
                <w:szCs w:val="24"/>
                <w:highlight w:val="none"/>
                <w:lang w:val="en-US" w:eastAsia="zh-CN"/>
              </w:rPr>
              <w:t>《中华人民共和国广告法》第十七条　除医疗、药品、医疗器械广告外，禁止其他任何广告涉及疾病治疗功能，并不得使用医疗用语或者易使推销的商品与药品、医疗器械相混淆的用语。</w:t>
            </w:r>
          </w:p>
          <w:p w14:paraId="06C655ED">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highlight w:val="none"/>
                <w:lang w:val="en-US" w:eastAsia="zh-CN"/>
              </w:rPr>
            </w:pPr>
            <w:r>
              <w:rPr>
                <w:rFonts w:hint="eastAsia" w:ascii="仿宋_GB2312" w:hAnsi="仿宋_GB2312" w:eastAsia="仿宋_GB2312" w:cs="仿宋_GB2312"/>
                <w:kern w:val="2"/>
                <w:sz w:val="24"/>
                <w:szCs w:val="24"/>
                <w:highlight w:val="none"/>
                <w:lang w:val="en-US" w:eastAsia="zh-CN"/>
              </w:rPr>
              <w:t>第五十八条第一款第二项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二）违反本法第十七条规定，在广告中涉及疾病治疗功能，以及使用医疗用语或者易使推销的商品与药品、医疗器械相混淆的用语的；</w:t>
            </w:r>
          </w:p>
        </w:tc>
        <w:tc>
          <w:tcPr>
            <w:tcW w:w="3151" w:type="dxa"/>
            <w:noWrap w:val="0"/>
            <w:vAlign w:val="center"/>
          </w:tcPr>
          <w:p w14:paraId="3171AD6E">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.涉案广告</w:t>
            </w:r>
            <w:r>
              <w:rPr>
                <w:rFonts w:hint="eastAsia" w:ascii="仿宋_GB2312" w:hAnsi="仿宋_GB2312" w:eastAsia="仿宋_GB2312" w:cs="仿宋_GB2312"/>
                <w:sz w:val="24"/>
                <w:szCs w:val="24"/>
                <w:highlight w:val="none"/>
                <w:lang w:eastAsia="zh-CN"/>
              </w:rPr>
              <w:t>系</w:t>
            </w:r>
            <w:r>
              <w:rPr>
                <w:rFonts w:hint="eastAsia" w:ascii="仿宋_GB2312" w:hAnsi="仿宋_GB2312" w:eastAsia="仿宋_GB2312" w:cs="仿宋_GB2312"/>
                <w:sz w:val="24"/>
                <w:szCs w:val="24"/>
                <w:highlight w:val="none"/>
              </w:rPr>
              <w:t>广告主通过</w:t>
            </w:r>
            <w:r>
              <w:rPr>
                <w:rFonts w:hint="eastAsia" w:ascii="仿宋_GB2312" w:hAnsi="仿宋_GB2312" w:eastAsia="仿宋_GB2312" w:cs="仿宋_GB2312"/>
                <w:sz w:val="24"/>
                <w:szCs w:val="24"/>
                <w:highlight w:val="none"/>
                <w:lang w:eastAsia="zh-CN"/>
              </w:rPr>
              <w:t>其</w:t>
            </w:r>
            <w:r>
              <w:rPr>
                <w:rFonts w:hint="eastAsia" w:ascii="仿宋_GB2312" w:hAnsi="仿宋_GB2312" w:eastAsia="仿宋_GB2312" w:cs="仿宋_GB2312"/>
                <w:sz w:val="24"/>
                <w:szCs w:val="24"/>
                <w:highlight w:val="none"/>
              </w:rPr>
              <w:t>经营场所</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互联网自媒体、宣传单等自行发布；</w:t>
            </w:r>
          </w:p>
          <w:p w14:paraId="49117759">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.违法行为持续时间较短，或浏览人数较少；</w:t>
            </w:r>
          </w:p>
          <w:p w14:paraId="02583294">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.初次违法，及时改正，且没有造成危害后果</w:t>
            </w:r>
            <w:r>
              <w:rPr>
                <w:rFonts w:hint="eastAsia" w:ascii="仿宋_GB2312" w:hAnsi="仿宋_GB2312" w:eastAsia="仿宋_GB2312" w:cs="仿宋_GB2312"/>
                <w:sz w:val="24"/>
                <w:szCs w:val="24"/>
                <w:highlight w:val="none"/>
                <w:lang w:eastAsia="zh-CN"/>
              </w:rPr>
              <w:t>或者危害后果轻微</w:t>
            </w:r>
            <w:r>
              <w:rPr>
                <w:rFonts w:hint="eastAsia" w:ascii="仿宋_GB2312" w:hAnsi="仿宋_GB2312" w:eastAsia="仿宋_GB2312" w:cs="仿宋_GB2312"/>
                <w:sz w:val="24"/>
                <w:szCs w:val="24"/>
                <w:highlight w:val="none"/>
              </w:rPr>
              <w:t>。</w:t>
            </w:r>
          </w:p>
        </w:tc>
      </w:tr>
      <w:tr w14:paraId="6348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14:paraId="45B32D4D">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13</w:t>
            </w:r>
          </w:p>
        </w:tc>
        <w:tc>
          <w:tcPr>
            <w:tcW w:w="2378" w:type="dxa"/>
            <w:noWrap w:val="0"/>
            <w:vAlign w:val="center"/>
          </w:tcPr>
          <w:p w14:paraId="46F6EA11">
            <w:pPr>
              <w:rPr>
                <w:rFonts w:hint="eastAsia"/>
              </w:rPr>
            </w:pPr>
            <w:r>
              <w:rPr>
                <w:rFonts w:hint="eastAsia"/>
              </w:rPr>
              <w:t>发布医疗广告未标注医疗机构第一名称、《医疗广告审查证明》文号</w:t>
            </w:r>
          </w:p>
          <w:p w14:paraId="560DED50">
            <w:pPr>
              <w:pStyle w:val="2"/>
              <w:ind w:left="0" w:leftChars="0" w:firstLine="0" w:firstLineChars="0"/>
              <w:rPr>
                <w:rFonts w:hint="eastAsia"/>
                <w:lang w:val="en-US" w:eastAsia="zh-CN"/>
              </w:rPr>
            </w:pPr>
          </w:p>
        </w:tc>
        <w:tc>
          <w:tcPr>
            <w:tcW w:w="7938" w:type="dxa"/>
            <w:noWrap w:val="0"/>
            <w:vAlign w:val="center"/>
          </w:tcPr>
          <w:p w14:paraId="63589D49">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highlight w:val="none"/>
                <w:lang w:val="en-US" w:eastAsia="zh-CN"/>
              </w:rPr>
            </w:pPr>
            <w:r>
              <w:rPr>
                <w:rFonts w:hint="eastAsia" w:ascii="仿宋_GB2312" w:hAnsi="仿宋_GB2312" w:eastAsia="仿宋_GB2312" w:cs="仿宋_GB2312"/>
                <w:kern w:val="2"/>
                <w:sz w:val="24"/>
                <w:szCs w:val="24"/>
                <w:highlight w:val="none"/>
                <w:lang w:val="en-US" w:eastAsia="zh-CN"/>
              </w:rPr>
              <w:t>《医疗广告管理办法》第十四条  发布医疗广告应当标注医疗机构第一名称和《医疗广告审查证明》文号。</w:t>
            </w:r>
            <w:r>
              <w:rPr>
                <w:rFonts w:hint="eastAsia" w:ascii="仿宋_GB2312" w:hAnsi="仿宋_GB2312" w:eastAsia="仿宋_GB2312" w:cs="仿宋_GB2312"/>
                <w:kern w:val="2"/>
                <w:sz w:val="24"/>
                <w:szCs w:val="24"/>
                <w:highlight w:val="none"/>
                <w:lang w:val="en-US" w:eastAsia="zh-CN"/>
              </w:rPr>
              <w:br w:type="textWrapping"/>
            </w:r>
            <w:r>
              <w:rPr>
                <w:rFonts w:hint="eastAsia" w:ascii="仿宋_GB2312" w:hAnsi="仿宋_GB2312" w:eastAsia="仿宋_GB2312" w:cs="仿宋_GB2312"/>
                <w:kern w:val="2"/>
                <w:sz w:val="24"/>
                <w:szCs w:val="24"/>
                <w:highlight w:val="none"/>
                <w:lang w:val="en-US" w:eastAsia="zh-CN"/>
              </w:rPr>
              <w:t>第二十二条  工商行政管理机关对违反本规则规定的广告主、广告经营者、广告发布者依据《广告法》、《反不正当竞争法》予以处罚，对情节严重，造成严重后果的，可以并处一至六个月暂停发布医疗广告、直至取消广告经营者、广告发布者的医疗广告经营和发布资格的处罚。法律法规没有规定的，工商行政管理机关应当对负有责任的广告主、广告经营者、广告发布者给予警告或者处以一万元以上三万元以下的罚款；医疗广告内容涉嫌虚假的，工商行政管理机关可根据需要会同卫生行政部门、中医药管理部门作出认定。</w:t>
            </w:r>
          </w:p>
        </w:tc>
        <w:tc>
          <w:tcPr>
            <w:tcW w:w="3151" w:type="dxa"/>
            <w:noWrap w:val="0"/>
            <w:vAlign w:val="center"/>
          </w:tcPr>
          <w:p w14:paraId="464E7225">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highlight w:val="none"/>
                <w:lang w:val="en-US" w:eastAsia="zh-CN"/>
              </w:rPr>
            </w:pPr>
            <w:r>
              <w:rPr>
                <w:rFonts w:hint="eastAsia" w:ascii="仿宋_GB2312" w:hAnsi="仿宋_GB2312" w:eastAsia="仿宋_GB2312" w:cs="仿宋_GB2312"/>
                <w:kern w:val="2"/>
                <w:sz w:val="24"/>
                <w:szCs w:val="24"/>
                <w:highlight w:val="none"/>
                <w:lang w:val="en-US" w:eastAsia="zh-CN"/>
              </w:rPr>
              <w:t>1.已取得审查批准文号且在有效期内；</w:t>
            </w:r>
          </w:p>
          <w:p w14:paraId="623CBE7D">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highlight w:val="none"/>
                <w:lang w:val="en-US" w:eastAsia="zh-CN"/>
              </w:rPr>
            </w:pPr>
            <w:r>
              <w:rPr>
                <w:rFonts w:hint="eastAsia" w:ascii="仿宋_GB2312" w:hAnsi="仿宋_GB2312" w:eastAsia="仿宋_GB2312" w:cs="仿宋_GB2312"/>
                <w:kern w:val="2"/>
                <w:sz w:val="24"/>
                <w:szCs w:val="24"/>
                <w:highlight w:val="none"/>
                <w:lang w:val="en-US" w:eastAsia="zh-CN"/>
              </w:rPr>
              <w:t>2.广告发布内容与原审查批准内容一致；</w:t>
            </w:r>
          </w:p>
          <w:p w14:paraId="69AD4DFD">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highlight w:val="none"/>
                <w:lang w:val="en-US" w:eastAsia="zh-CN"/>
              </w:rPr>
            </w:pPr>
            <w:r>
              <w:rPr>
                <w:rFonts w:hint="eastAsia" w:ascii="仿宋_GB2312" w:hAnsi="仿宋_GB2312" w:eastAsia="仿宋_GB2312" w:cs="仿宋_GB2312"/>
                <w:kern w:val="2"/>
                <w:sz w:val="24"/>
                <w:szCs w:val="24"/>
                <w:highlight w:val="none"/>
                <w:lang w:val="en-US" w:eastAsia="zh-CN"/>
              </w:rPr>
              <w:t>3.</w:t>
            </w:r>
            <w:r>
              <w:rPr>
                <w:rFonts w:hint="eastAsia" w:ascii="仿宋_GB2312" w:hAnsi="仿宋_GB2312" w:eastAsia="仿宋_GB2312" w:cs="仿宋_GB2312"/>
                <w:sz w:val="24"/>
                <w:szCs w:val="24"/>
                <w:highlight w:val="none"/>
              </w:rPr>
              <w:t>初次违法，及时改正，且没有造成危害后果</w:t>
            </w:r>
            <w:r>
              <w:rPr>
                <w:rFonts w:hint="eastAsia" w:ascii="仿宋_GB2312" w:hAnsi="仿宋_GB2312" w:eastAsia="仿宋_GB2312" w:cs="仿宋_GB2312"/>
                <w:sz w:val="24"/>
                <w:szCs w:val="24"/>
                <w:highlight w:val="none"/>
                <w:lang w:eastAsia="zh-CN"/>
              </w:rPr>
              <w:t>或者危害后果轻微</w:t>
            </w:r>
            <w:r>
              <w:rPr>
                <w:rFonts w:hint="eastAsia" w:ascii="仿宋_GB2312" w:hAnsi="仿宋_GB2312" w:eastAsia="仿宋_GB2312" w:cs="仿宋_GB2312"/>
                <w:sz w:val="24"/>
                <w:szCs w:val="24"/>
                <w:highlight w:val="none"/>
              </w:rPr>
              <w:t>。</w:t>
            </w:r>
          </w:p>
        </w:tc>
      </w:tr>
      <w:tr w14:paraId="0E9A1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14:paraId="3FED13BC">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14</w:t>
            </w:r>
          </w:p>
        </w:tc>
        <w:tc>
          <w:tcPr>
            <w:tcW w:w="2378" w:type="dxa"/>
            <w:noWrap w:val="0"/>
            <w:vAlign w:val="center"/>
          </w:tcPr>
          <w:p w14:paraId="242EE2FF">
            <w:pPr>
              <w:pStyle w:val="2"/>
              <w:ind w:left="0" w:leftChars="0" w:firstLine="0" w:firstLineChars="0"/>
              <w:rPr>
                <w:rFonts w:hint="eastAsia"/>
                <w:lang w:val="en-US" w:eastAsia="zh-CN"/>
              </w:rPr>
            </w:pPr>
            <w:r>
              <w:rPr>
                <w:rFonts w:hint="eastAsia"/>
                <w:lang w:val="en-US" w:eastAsia="zh-CN"/>
              </w:rPr>
              <w:t>未公布广告收费标准和收费办法</w:t>
            </w:r>
          </w:p>
          <w:p w14:paraId="4EDA6A70">
            <w:pPr>
              <w:rPr>
                <w:rFonts w:hint="eastAsia"/>
                <w:lang w:val="en-US" w:eastAsia="zh-CN"/>
              </w:rPr>
            </w:pPr>
          </w:p>
        </w:tc>
        <w:tc>
          <w:tcPr>
            <w:tcW w:w="7938" w:type="dxa"/>
            <w:noWrap w:val="0"/>
            <w:vAlign w:val="center"/>
          </w:tcPr>
          <w:p w14:paraId="274B455E">
            <w:pPr>
              <w:rPr>
                <w:rFonts w:hint="eastAsia" w:ascii="仿宋_GB2312" w:hAnsi="仿宋_GB2312" w:eastAsia="仿宋_GB2312" w:cs="仿宋_GB2312"/>
                <w:i w:val="0"/>
                <w:color w:val="000000"/>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highlight w:val="none"/>
                <w:u w:val="none"/>
                <w:lang w:val="en-US" w:eastAsia="zh-CN" w:bidi="ar"/>
              </w:rPr>
              <w:t>《中华人民共和国广告法》第三十五条　广告经营者、广告发布者应当公布其收费标准和收费办法。</w:t>
            </w:r>
          </w:p>
          <w:p w14:paraId="795C4106">
            <w:pPr>
              <w:rPr>
                <w:rFonts w:hint="eastAsia" w:ascii="仿宋_GB2312" w:hAnsi="仿宋_GB2312" w:eastAsia="仿宋_GB2312" w:cs="仿宋_GB2312"/>
                <w:i w:val="0"/>
                <w:color w:val="000000"/>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highlight w:val="none"/>
                <w:u w:val="none"/>
                <w:lang w:val="en-US" w:eastAsia="zh-CN" w:bidi="ar"/>
              </w:rPr>
              <w:t>第六十条第二款  违反本法第三十五条规定，广告经营者、广告发布者未公布其收费标准和收费办法的，由价格主管部门责令改正，可以处五万元以下的罚款。</w:t>
            </w:r>
          </w:p>
        </w:tc>
        <w:tc>
          <w:tcPr>
            <w:tcW w:w="3151" w:type="dxa"/>
            <w:noWrap w:val="0"/>
            <w:vAlign w:val="center"/>
          </w:tcPr>
          <w:p w14:paraId="3490BF8B">
            <w:pP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1.初次违法；</w:t>
            </w:r>
          </w:p>
          <w:p w14:paraId="4D258A2C">
            <w:pP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2.没有造成危害后果或者危害后果轻微；</w:t>
            </w:r>
          </w:p>
          <w:p w14:paraId="6F2608F8">
            <w:pPr>
              <w:rPr>
                <w:rFonts w:hint="eastAsia" w:ascii="仿宋_GB2312" w:hAnsi="仿宋_GB2312" w:eastAsia="仿宋_GB2312" w:cs="仿宋_GB2312"/>
                <w:i w:val="0"/>
                <w:color w:val="000000"/>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3.及时改正。</w:t>
            </w:r>
          </w:p>
        </w:tc>
      </w:tr>
      <w:tr w14:paraId="77725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14:paraId="35A10563">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15</w:t>
            </w:r>
          </w:p>
        </w:tc>
        <w:tc>
          <w:tcPr>
            <w:tcW w:w="2378" w:type="dxa"/>
            <w:noWrap w:val="0"/>
            <w:vAlign w:val="center"/>
          </w:tcPr>
          <w:p w14:paraId="2264960B">
            <w:pPr>
              <w:pStyle w:val="2"/>
              <w:ind w:left="0" w:leftChars="0" w:firstLine="0" w:firstLineChars="0"/>
              <w:rPr>
                <w:rFonts w:hint="eastAsia"/>
                <w:lang w:val="en-US" w:eastAsia="zh-CN"/>
              </w:rPr>
            </w:pPr>
            <w:r>
              <w:rPr>
                <w:rFonts w:hint="eastAsia"/>
                <w:lang w:val="en-US" w:eastAsia="zh-CN"/>
              </w:rPr>
              <w:t>经营者对其商品作虚假或者引人误解的商业宣传</w:t>
            </w:r>
          </w:p>
          <w:p w14:paraId="59C50A0D">
            <w:pPr>
              <w:rPr>
                <w:rFonts w:hint="eastAsia"/>
              </w:rPr>
            </w:pPr>
          </w:p>
        </w:tc>
        <w:tc>
          <w:tcPr>
            <w:tcW w:w="7938" w:type="dxa"/>
            <w:noWrap w:val="0"/>
            <w:vAlign w:val="center"/>
          </w:tcPr>
          <w:p w14:paraId="0FFE03F8">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highlight w:val="none"/>
                <w:lang w:val="en-US" w:eastAsia="zh-CN"/>
              </w:rPr>
            </w:pPr>
            <w:r>
              <w:rPr>
                <w:rFonts w:hint="eastAsia" w:ascii="仿宋_GB2312" w:hAnsi="仿宋_GB2312" w:eastAsia="仿宋_GB2312" w:cs="仿宋_GB2312"/>
                <w:kern w:val="2"/>
                <w:sz w:val="24"/>
                <w:szCs w:val="24"/>
                <w:highlight w:val="none"/>
                <w:lang w:val="en-US" w:eastAsia="zh-CN"/>
              </w:rPr>
              <w:t>《中华人民共和国反不正当竞争法》第九条　经营者不得对其商品的性能、功能、质量、销售状况、用户评价、曾获荣誉等作虚假或者引人误解的商业宣传，欺骗、误导消费者和其他经营者。</w:t>
            </w:r>
          </w:p>
          <w:p w14:paraId="493471EB">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highlight w:val="none"/>
                <w:lang w:val="en-US" w:eastAsia="zh-CN"/>
              </w:rPr>
            </w:pPr>
            <w:r>
              <w:rPr>
                <w:rFonts w:hint="eastAsia" w:ascii="仿宋_GB2312" w:hAnsi="仿宋_GB2312" w:eastAsia="仿宋_GB2312" w:cs="仿宋_GB2312"/>
                <w:kern w:val="2"/>
                <w:sz w:val="24"/>
                <w:szCs w:val="24"/>
                <w:highlight w:val="none"/>
                <w:lang w:val="en-US" w:eastAsia="zh-CN"/>
              </w:rPr>
              <w:t>经营者不得通过组织虚假交易、虚假评价等方式，帮助其他经营者进行虚假或者引人误解的商业宣传。</w:t>
            </w:r>
          </w:p>
          <w:p w14:paraId="05ECCD3A">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highlight w:val="none"/>
                <w:lang w:val="en-US" w:eastAsia="zh-CN"/>
              </w:rPr>
            </w:pPr>
            <w:r>
              <w:rPr>
                <w:rFonts w:hint="eastAsia" w:ascii="仿宋_GB2312" w:hAnsi="仿宋_GB2312" w:eastAsia="仿宋_GB2312" w:cs="仿宋_GB2312"/>
                <w:kern w:val="2"/>
                <w:sz w:val="24"/>
                <w:szCs w:val="24"/>
                <w:highlight w:val="none"/>
                <w:lang w:val="en-US" w:eastAsia="zh-CN"/>
              </w:rPr>
              <w:t>第二十五条　经营者违反本法第九条规定对其商品作虚假或者引人误解的商业宣传，或者通过组织虚假交易、虚假评价等方式帮助其他经营者进行虚假或者引人误解的商业宣传的，由监督检查部门责令停止违法行为，处一百万元以下的罚款；情节严重的，处一百万元以上二百万元以下的罚款，可以并处吊销营业执照。</w:t>
            </w:r>
          </w:p>
          <w:p w14:paraId="724E81B4">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highlight w:val="none"/>
                <w:lang w:val="en-US" w:eastAsia="zh-CN"/>
              </w:rPr>
              <w:t>经营者违反本法第九条规定，属于发布虚假广告的，依照《中华人民共和国广告法》的规定处罚。</w:t>
            </w:r>
          </w:p>
        </w:tc>
        <w:tc>
          <w:tcPr>
            <w:tcW w:w="3151" w:type="dxa"/>
            <w:noWrap w:val="0"/>
            <w:vAlign w:val="center"/>
          </w:tcPr>
          <w:p w14:paraId="605E5470">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仅在自有渠道宣传</w:t>
            </w:r>
            <w:r>
              <w:rPr>
                <w:rFonts w:hint="eastAsia" w:ascii="仿宋_GB2312" w:hAnsi="仿宋_GB2312" w:eastAsia="仿宋_GB2312" w:cs="仿宋_GB2312"/>
                <w:sz w:val="24"/>
                <w:szCs w:val="24"/>
                <w:highlight w:val="none"/>
              </w:rPr>
              <w:t>；</w:t>
            </w:r>
          </w:p>
          <w:p w14:paraId="5A46624F">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.违法行为持续时间较短，或浏览人数较少；</w:t>
            </w:r>
          </w:p>
          <w:p w14:paraId="602FF9D2">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highlight w:val="none"/>
                <w:lang w:val="en-US" w:eastAsia="zh-CN"/>
              </w:rPr>
            </w:pP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.初次违法，及时改正，且没有造成危害后果</w:t>
            </w:r>
            <w:r>
              <w:rPr>
                <w:rFonts w:hint="eastAsia" w:ascii="仿宋_GB2312" w:hAnsi="仿宋_GB2312" w:eastAsia="仿宋_GB2312" w:cs="仿宋_GB2312"/>
                <w:sz w:val="24"/>
                <w:szCs w:val="24"/>
                <w:highlight w:val="none"/>
                <w:lang w:eastAsia="zh-CN"/>
              </w:rPr>
              <w:t>或者危害后果轻微</w:t>
            </w:r>
            <w:r>
              <w:rPr>
                <w:rFonts w:hint="eastAsia" w:ascii="仿宋_GB2312" w:hAnsi="仿宋_GB2312" w:eastAsia="仿宋_GB2312" w:cs="仿宋_GB2312"/>
                <w:sz w:val="24"/>
                <w:szCs w:val="24"/>
                <w:highlight w:val="none"/>
              </w:rPr>
              <w:t>。</w:t>
            </w:r>
          </w:p>
        </w:tc>
      </w:tr>
      <w:tr w14:paraId="619D5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14:paraId="2BC9F937">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16</w:t>
            </w:r>
          </w:p>
        </w:tc>
        <w:tc>
          <w:tcPr>
            <w:tcW w:w="2378" w:type="dxa"/>
            <w:noWrap w:val="0"/>
            <w:vAlign w:val="center"/>
          </w:tcPr>
          <w:p w14:paraId="446EC4BB">
            <w:pPr>
              <w:pStyle w:val="2"/>
              <w:ind w:left="0" w:leftChars="0" w:firstLine="0" w:firstLineChars="0"/>
              <w:rPr>
                <w:rFonts w:hint="eastAsia"/>
              </w:rPr>
            </w:pPr>
            <w:r>
              <w:rPr>
                <w:rFonts w:hint="eastAsia"/>
              </w:rPr>
              <w:t>电子商务经营者未按照规定在首页显著位置持续公示终止电子商务的有关信息</w:t>
            </w:r>
          </w:p>
          <w:p w14:paraId="64F2532E">
            <w:pPr>
              <w:rPr>
                <w:rFonts w:hint="eastAsia"/>
              </w:rPr>
            </w:pPr>
          </w:p>
        </w:tc>
        <w:tc>
          <w:tcPr>
            <w:tcW w:w="7938" w:type="dxa"/>
            <w:noWrap w:val="0"/>
            <w:vAlign w:val="center"/>
          </w:tcPr>
          <w:p w14:paraId="795551A6">
            <w:pPr>
              <w:tabs>
                <w:tab w:val="left" w:pos="790"/>
                <w:tab w:val="left" w:pos="1264"/>
              </w:tabs>
              <w:overflowPunct w:val="0"/>
              <w:adjustRightInd w:val="0"/>
              <w:snapToGrid w:val="0"/>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《中华人民共和国电子商务法》第十六条  电子商务经营者自行终止从事电子商务的，应当提前三十日在首页显著位置持续公示有关信息。</w:t>
            </w:r>
          </w:p>
          <w:p w14:paraId="2781B2F0">
            <w:pPr>
              <w:tabs>
                <w:tab w:val="left" w:pos="790"/>
                <w:tab w:val="left" w:pos="1264"/>
              </w:tabs>
              <w:overflowPunct w:val="0"/>
              <w:adjustRightInd w:val="0"/>
              <w:snapToGrid w:val="0"/>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第七十六条第一款第二项  电子商务经营者违反本法规定，有下列行为之一的，由市场监督管理部门责令限期改正，可以处一万元以下的罚款，对其中的电子商务平台经营者，依照本法第八十一条第一款的规定处罚：（二）未在首页显著位置持续公示终止电子商务的有关信息的。</w:t>
            </w:r>
          </w:p>
          <w:p w14:paraId="048F9B5E">
            <w:pPr>
              <w:tabs>
                <w:tab w:val="left" w:pos="790"/>
                <w:tab w:val="left" w:pos="1264"/>
              </w:tabs>
              <w:overflowPunct w:val="0"/>
              <w:adjustRightInd w:val="0"/>
              <w:snapToGrid w:val="0"/>
              <w:spacing w:line="32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第八十一条第一款  电子商务平台经营者违反本法规定，有下列行为之一的，由市场监督管理部门责令限期改正，可以处二万元以上十万元以下的罚款；情节严重的，处十万元以上五十万元以下的罚款</w:t>
            </w:r>
            <w:r>
              <w:rPr>
                <w:rFonts w:hint="eastAsia" w:ascii="仿宋_GB2312" w:hAnsi="仿宋_GB2312" w:eastAsia="仿宋_GB2312" w:cs="仿宋_GB2312"/>
                <w:sz w:val="24"/>
                <w:szCs w:val="24"/>
                <w:lang w:eastAsia="zh-CN"/>
              </w:rPr>
              <w:t>……</w:t>
            </w:r>
          </w:p>
        </w:tc>
        <w:tc>
          <w:tcPr>
            <w:tcW w:w="3151" w:type="dxa"/>
            <w:noWrap w:val="0"/>
            <w:vAlign w:val="center"/>
          </w:tcPr>
          <w:p w14:paraId="13348495">
            <w:pP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1.初次违法；</w:t>
            </w:r>
          </w:p>
          <w:p w14:paraId="780321CA">
            <w:pP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2.没有造成危害后果或者危害后果轻微；</w:t>
            </w:r>
          </w:p>
          <w:p w14:paraId="02B7A580">
            <w:pPr>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color w:val="auto"/>
                <w:kern w:val="0"/>
                <w:sz w:val="24"/>
                <w:szCs w:val="24"/>
                <w:highlight w:val="none"/>
                <w:u w:val="none"/>
                <w:lang w:val="en-US" w:eastAsia="zh-CN" w:bidi="ar"/>
              </w:rPr>
              <w:t>3.及时改正。</w:t>
            </w:r>
          </w:p>
        </w:tc>
      </w:tr>
      <w:tr w14:paraId="725AB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14:paraId="3A6D1D13">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17</w:t>
            </w:r>
          </w:p>
        </w:tc>
        <w:tc>
          <w:tcPr>
            <w:tcW w:w="2378" w:type="dxa"/>
            <w:noWrap w:val="0"/>
            <w:vAlign w:val="center"/>
          </w:tcPr>
          <w:p w14:paraId="462FD3FB">
            <w:pPr>
              <w:pStyle w:val="2"/>
              <w:ind w:left="0" w:leftChars="0" w:firstLine="0" w:firstLineChars="0"/>
              <w:rPr>
                <w:rFonts w:hint="eastAsia"/>
              </w:rPr>
            </w:pPr>
            <w:r>
              <w:rPr>
                <w:rFonts w:hint="eastAsia"/>
              </w:rPr>
              <w:t>电子商务经营者未明示用户信息查询、更正、删除以及用户注销的方式、程序，或者对用户信息查询、更正、删除以及用户注销设置不合理条件</w:t>
            </w:r>
          </w:p>
          <w:p w14:paraId="62DBE4CA">
            <w:pPr>
              <w:rPr>
                <w:rFonts w:hint="eastAsia"/>
              </w:rPr>
            </w:pPr>
          </w:p>
        </w:tc>
        <w:tc>
          <w:tcPr>
            <w:tcW w:w="7938" w:type="dxa"/>
            <w:noWrap w:val="0"/>
            <w:vAlign w:val="center"/>
          </w:tcPr>
          <w:p w14:paraId="4E1C2700">
            <w:pPr>
              <w:tabs>
                <w:tab w:val="left" w:pos="790"/>
                <w:tab w:val="left" w:pos="1264"/>
              </w:tabs>
              <w:overflowPunct w:val="0"/>
              <w:adjustRightInd w:val="0"/>
              <w:snapToGrid w:val="0"/>
              <w:spacing w:line="32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《中华人民共和国电子商务法》第二十四条第一款  电子商务经营者应当明示用户信息查询、更正、删除以及用户注销的方式、程序，不得对用户信息查询、更正、删除以及用户注销设置不合理条件。</w:t>
            </w:r>
          </w:p>
          <w:p w14:paraId="188282CF">
            <w:pPr>
              <w:tabs>
                <w:tab w:val="left" w:pos="790"/>
                <w:tab w:val="left" w:pos="1264"/>
              </w:tabs>
              <w:overflowPunct w:val="0"/>
              <w:adjustRightInd w:val="0"/>
              <w:snapToGrid w:val="0"/>
              <w:spacing w:line="320" w:lineRule="exact"/>
              <w:rPr>
                <w:rFonts w:hint="eastAsia" w:ascii="仿宋_GB2312" w:hAnsi="仿宋_GB2312" w:eastAsia="仿宋_GB2312" w:cs="仿宋_GB2312"/>
                <w:sz w:val="24"/>
                <w:szCs w:val="24"/>
                <w:highlight w:val="none"/>
                <w:lang w:val="en"/>
              </w:rPr>
            </w:pPr>
            <w:r>
              <w:rPr>
                <w:rFonts w:hint="eastAsia" w:ascii="仿宋_GB2312" w:hAnsi="仿宋_GB2312" w:eastAsia="仿宋_GB2312" w:cs="仿宋_GB2312"/>
                <w:sz w:val="24"/>
                <w:szCs w:val="24"/>
                <w:highlight w:val="none"/>
              </w:rPr>
              <w:t>第七十六条第一款第三项  电子商务经营者违反本法规定，有下列行为之一的，由市场监督管理部门责令限期改正，可以处一万元以下的罚款，对其中的电子商务平台经营者，依照本法第八十一条第一款的规定处罚：（三）未明示用户信息查询、更正、删除以及用户注销的方式、程序，或者对用户信息查询、更正、删除以及用户注销设置不合理条件的。</w:t>
            </w:r>
          </w:p>
          <w:p w14:paraId="517A1FBC">
            <w:pPr>
              <w:tabs>
                <w:tab w:val="left" w:pos="790"/>
                <w:tab w:val="left" w:pos="1264"/>
              </w:tabs>
              <w:overflowPunct w:val="0"/>
              <w:adjustRightInd w:val="0"/>
              <w:snapToGrid w:val="0"/>
              <w:spacing w:line="320" w:lineRule="exac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第八十一条第一款  电子商务平台经营者违反本法规定，有下列行为之一的，由市场监督管理部门责令限期改正，可以处二万元以上十万元以下的罚款；情节严重的，处十万元以上五十万元以下的罚款</w:t>
            </w:r>
            <w:r>
              <w:rPr>
                <w:rFonts w:hint="eastAsia" w:ascii="仿宋_GB2312" w:hAnsi="仿宋_GB2312" w:eastAsia="仿宋_GB2312" w:cs="仿宋_GB2312"/>
                <w:sz w:val="24"/>
                <w:szCs w:val="24"/>
                <w:highlight w:val="none"/>
                <w:lang w:eastAsia="zh-CN"/>
              </w:rPr>
              <w:t>……</w:t>
            </w:r>
          </w:p>
        </w:tc>
        <w:tc>
          <w:tcPr>
            <w:tcW w:w="3151" w:type="dxa"/>
            <w:noWrap w:val="0"/>
            <w:vAlign w:val="center"/>
          </w:tcPr>
          <w:p w14:paraId="01C1FC1C">
            <w:pP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1.初次违法；</w:t>
            </w:r>
          </w:p>
          <w:p w14:paraId="14E80E67">
            <w:pP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2.没有造成危害后果或者危害后果轻微；</w:t>
            </w:r>
          </w:p>
          <w:p w14:paraId="4776BB9D">
            <w:pPr>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color w:val="auto"/>
                <w:kern w:val="0"/>
                <w:sz w:val="24"/>
                <w:szCs w:val="24"/>
                <w:highlight w:val="none"/>
                <w:u w:val="none"/>
                <w:lang w:val="en-US" w:eastAsia="zh-CN" w:bidi="ar"/>
              </w:rPr>
              <w:t>3.及时改正。</w:t>
            </w:r>
          </w:p>
        </w:tc>
      </w:tr>
      <w:tr w14:paraId="34691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14:paraId="6A1DCD78">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18</w:t>
            </w:r>
          </w:p>
        </w:tc>
        <w:tc>
          <w:tcPr>
            <w:tcW w:w="2378" w:type="dxa"/>
            <w:noWrap w:val="0"/>
            <w:vAlign w:val="center"/>
          </w:tcPr>
          <w:p w14:paraId="47299B95">
            <w:pPr>
              <w:pStyle w:val="2"/>
              <w:ind w:left="0" w:leftChars="0" w:firstLine="0" w:firstLineChars="0"/>
              <w:rPr>
                <w:rFonts w:hint="eastAsia"/>
              </w:rPr>
            </w:pPr>
            <w:r>
              <w:rPr>
                <w:rFonts w:hint="eastAsia"/>
              </w:rPr>
              <w:t>网络交易经营者</w:t>
            </w:r>
            <w:r>
              <w:rPr>
                <w:rFonts w:hint="eastAsia"/>
                <w:lang w:eastAsia="zh-CN"/>
              </w:rPr>
              <w:t>未</w:t>
            </w:r>
            <w:r>
              <w:rPr>
                <w:rFonts w:hint="eastAsia"/>
              </w:rPr>
              <w:t>在其网站首页或者从事经营活动的主页面显著位置，持续公示经营者主体信息或者该信息的链接标识</w:t>
            </w:r>
          </w:p>
          <w:p w14:paraId="0E16BFA5">
            <w:pPr>
              <w:rPr>
                <w:rFonts w:hint="eastAsia"/>
              </w:rPr>
            </w:pPr>
          </w:p>
        </w:tc>
        <w:tc>
          <w:tcPr>
            <w:tcW w:w="7938" w:type="dxa"/>
            <w:noWrap w:val="0"/>
            <w:vAlign w:val="center"/>
          </w:tcPr>
          <w:p w14:paraId="546875A5">
            <w:pPr>
              <w:tabs>
                <w:tab w:val="left" w:pos="790"/>
                <w:tab w:val="left" w:pos="1264"/>
              </w:tabs>
              <w:overflowPunct w:val="0"/>
              <w:adjustRightInd w:val="0"/>
              <w:snapToGrid w:val="0"/>
              <w:spacing w:line="320" w:lineRule="exac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《网络交易监督管理办法》第十二条第</w:t>
            </w:r>
            <w:r>
              <w:rPr>
                <w:rFonts w:hint="eastAsia" w:ascii="仿宋_GB2312" w:hAnsi="仿宋_GB2312" w:eastAsia="仿宋_GB2312" w:cs="仿宋_GB2312"/>
                <w:sz w:val="24"/>
                <w:szCs w:val="24"/>
                <w:highlight w:val="none"/>
                <w:lang w:eastAsia="zh-CN"/>
              </w:rPr>
              <w:t>一</w:t>
            </w:r>
            <w:r>
              <w:rPr>
                <w:rFonts w:hint="eastAsia" w:ascii="仿宋_GB2312" w:hAnsi="仿宋_GB2312" w:eastAsia="仿宋_GB2312" w:cs="仿宋_GB2312"/>
                <w:sz w:val="24"/>
                <w:szCs w:val="24"/>
                <w:highlight w:val="none"/>
              </w:rPr>
              <w:t>款</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网络交易经营者应当在其网站首页或者从事经营活动的主页面显著位置，持续公示经营者主体信息或者该信息的链接标识。鼓励网络交易经营者链接到国家市场监督管理总局电子营业执照亮照系统，公示其营业执照信息。</w:t>
            </w:r>
          </w:p>
          <w:p w14:paraId="490FF751">
            <w:pPr>
              <w:tabs>
                <w:tab w:val="left" w:pos="790"/>
                <w:tab w:val="left" w:pos="1264"/>
              </w:tabs>
              <w:overflowPunct w:val="0"/>
              <w:adjustRightInd w:val="0"/>
              <w:snapToGrid w:val="0"/>
              <w:spacing w:line="320" w:lineRule="exact"/>
              <w:rPr>
                <w:rFonts w:hint="eastAsia" w:ascii="仿宋_GB2312" w:hAnsi="仿宋_GB2312" w:eastAsia="仿宋_GB2312" w:cs="仿宋_GB2312"/>
                <w:sz w:val="24"/>
                <w:szCs w:val="24"/>
                <w:highlight w:val="none"/>
                <w:lang w:val="en"/>
              </w:rPr>
            </w:pPr>
            <w:r>
              <w:rPr>
                <w:rFonts w:hint="eastAsia" w:ascii="仿宋_GB2312" w:hAnsi="仿宋_GB2312" w:eastAsia="仿宋_GB2312" w:cs="仿宋_GB2312"/>
                <w:sz w:val="24"/>
                <w:szCs w:val="24"/>
                <w:highlight w:val="none"/>
              </w:rPr>
              <w:t>第四十二条  网络交易经营者违反本办法第十二条、第二十三条，未履行法定信息公示义务的，依照《中华人民共和国电子商务法》第七十六条的规定进行处罚。对其中的网络交易平台经营者，依照《中华人民共和国电子商务法》第八十一条第一款的规定进行处罚。</w:t>
            </w:r>
          </w:p>
          <w:p w14:paraId="3132B9A5">
            <w:pPr>
              <w:tabs>
                <w:tab w:val="left" w:pos="790"/>
                <w:tab w:val="left" w:pos="1264"/>
              </w:tabs>
              <w:overflowPunct w:val="0"/>
              <w:adjustRightInd w:val="0"/>
              <w:snapToGrid w:val="0"/>
              <w:spacing w:line="32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《中华人民共和国电子商务法》第七十六条  电子商务经营者违反本法规定，有下列行为之一的，由市场监督管理部门责令限期改正，可以处一万元以下的罚款，对其中的电子商务平台经营者，依照本法第八十一条第一款的规定处罚：（一）未在首页显著位置公示营业执照信息、行政许可信息、属于不需要办理市场主体登记情形等信息,或者上述信息的链接标识的；（二）未在首页显著位置持续公示终止电子商务的有关信息的；（三）未明示用户信息查询、更正、删除以及用户注销的方式、程序，或者对用户信息查询、更正、删除以及用户注销设置不合理条件的。</w:t>
            </w:r>
          </w:p>
          <w:p w14:paraId="3A9708C5">
            <w:pPr>
              <w:tabs>
                <w:tab w:val="left" w:pos="790"/>
                <w:tab w:val="left" w:pos="1264"/>
              </w:tabs>
              <w:overflowPunct w:val="0"/>
              <w:adjustRightInd w:val="0"/>
              <w:snapToGrid w:val="0"/>
              <w:spacing w:line="320" w:lineRule="exact"/>
              <w:rPr>
                <w:rFonts w:hint="eastAsia" w:ascii="仿宋_GB2312" w:hAnsi="仿宋_GB2312" w:eastAsia="仿宋_GB2312" w:cs="仿宋_GB2312"/>
                <w:sz w:val="24"/>
                <w:szCs w:val="24"/>
                <w:highlight w:val="none"/>
                <w:lang w:val="en" w:eastAsia="zh-CN"/>
              </w:rPr>
            </w:pPr>
            <w:r>
              <w:rPr>
                <w:rFonts w:hint="eastAsia" w:ascii="仿宋_GB2312" w:hAnsi="仿宋_GB2312" w:eastAsia="仿宋_GB2312" w:cs="仿宋_GB2312"/>
                <w:sz w:val="24"/>
                <w:szCs w:val="24"/>
                <w:highlight w:val="none"/>
              </w:rPr>
              <w:t>电子商务平台经营者对违反前款规定的平台内经营者未采取必要措施的，由市场监督管理部门责令限期改正，可以处二万元以上十万元以下的罚款。</w:t>
            </w:r>
          </w:p>
          <w:p w14:paraId="39BB209F">
            <w:pPr>
              <w:tabs>
                <w:tab w:val="left" w:pos="790"/>
                <w:tab w:val="left" w:pos="1264"/>
              </w:tabs>
              <w:overflowPunct w:val="0"/>
              <w:adjustRightInd w:val="0"/>
              <w:snapToGrid w:val="0"/>
              <w:spacing w:line="320" w:lineRule="exac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第八十一条第一款  电子商务平台经营者违反本法规定，有下列行为之一的，由市场监督管理部门责令限期改正，可以处二万元以上十万元以下的罚款；情节严重的，处十万元以上五十万元以下的罚款</w:t>
            </w:r>
            <w:r>
              <w:rPr>
                <w:rFonts w:hint="eastAsia" w:ascii="仿宋_GB2312" w:hAnsi="仿宋_GB2312" w:eastAsia="仿宋_GB2312" w:cs="仿宋_GB2312"/>
                <w:sz w:val="24"/>
                <w:szCs w:val="24"/>
                <w:highlight w:val="none"/>
                <w:lang w:eastAsia="zh-CN"/>
              </w:rPr>
              <w:t>……</w:t>
            </w:r>
          </w:p>
        </w:tc>
        <w:tc>
          <w:tcPr>
            <w:tcW w:w="3151" w:type="dxa"/>
            <w:noWrap w:val="0"/>
            <w:vAlign w:val="center"/>
          </w:tcPr>
          <w:p w14:paraId="07F9BD00">
            <w:pP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1.初次违法；</w:t>
            </w:r>
          </w:p>
          <w:p w14:paraId="2214D1CF">
            <w:pP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2.没有造成危害后果或者危害后果轻微；</w:t>
            </w:r>
          </w:p>
          <w:p w14:paraId="6A6C9DC5">
            <w:pPr>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color w:val="auto"/>
                <w:kern w:val="0"/>
                <w:sz w:val="24"/>
                <w:szCs w:val="24"/>
                <w:highlight w:val="none"/>
                <w:u w:val="none"/>
                <w:lang w:val="en-US" w:eastAsia="zh-CN" w:bidi="ar"/>
              </w:rPr>
              <w:t>3.及时改正。</w:t>
            </w:r>
          </w:p>
        </w:tc>
      </w:tr>
      <w:tr w14:paraId="3DFBA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14:paraId="2C9F07F4">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19</w:t>
            </w:r>
          </w:p>
        </w:tc>
        <w:tc>
          <w:tcPr>
            <w:tcW w:w="2378" w:type="dxa"/>
            <w:noWrap w:val="0"/>
            <w:vAlign w:val="center"/>
          </w:tcPr>
          <w:p w14:paraId="3830A79A">
            <w:pPr>
              <w:pStyle w:val="2"/>
              <w:ind w:left="0" w:leftChars="0" w:firstLine="0" w:firstLineChars="0"/>
              <w:rPr>
                <w:rFonts w:hint="eastAsia"/>
              </w:rPr>
            </w:pPr>
            <w:r>
              <w:rPr>
                <w:rFonts w:hint="eastAsia"/>
              </w:rPr>
              <w:t>网络交易经营者公示的信息发生变更，未在十个工作日内完成更新公示</w:t>
            </w:r>
          </w:p>
          <w:p w14:paraId="4E231568">
            <w:pPr>
              <w:rPr>
                <w:rFonts w:hint="eastAsia"/>
              </w:rPr>
            </w:pPr>
          </w:p>
        </w:tc>
        <w:tc>
          <w:tcPr>
            <w:tcW w:w="7938" w:type="dxa"/>
            <w:noWrap w:val="0"/>
            <w:vAlign w:val="center"/>
          </w:tcPr>
          <w:p w14:paraId="7514592D">
            <w:pPr>
              <w:tabs>
                <w:tab w:val="left" w:pos="790"/>
                <w:tab w:val="left" w:pos="1264"/>
              </w:tabs>
              <w:overflowPunct w:val="0"/>
              <w:adjustRightInd w:val="0"/>
              <w:snapToGrid w:val="0"/>
              <w:spacing w:line="32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《网络交易监督管理办法》第十二条第四款  网络交易经营者公示的信息发生变更的，应当在十个工作日内完成更新公示。</w:t>
            </w:r>
          </w:p>
          <w:p w14:paraId="77DF9003">
            <w:pPr>
              <w:tabs>
                <w:tab w:val="left" w:pos="790"/>
                <w:tab w:val="left" w:pos="1264"/>
              </w:tabs>
              <w:overflowPunct w:val="0"/>
              <w:adjustRightInd w:val="0"/>
              <w:snapToGrid w:val="0"/>
              <w:spacing w:line="320" w:lineRule="exact"/>
              <w:rPr>
                <w:rFonts w:hint="eastAsia" w:ascii="仿宋_GB2312" w:hAnsi="仿宋_GB2312" w:eastAsia="仿宋_GB2312" w:cs="仿宋_GB2312"/>
                <w:sz w:val="24"/>
                <w:szCs w:val="24"/>
                <w:highlight w:val="none"/>
                <w:lang w:val="en"/>
              </w:rPr>
            </w:pPr>
            <w:r>
              <w:rPr>
                <w:rFonts w:hint="eastAsia" w:ascii="仿宋_GB2312" w:hAnsi="仿宋_GB2312" w:eastAsia="仿宋_GB2312" w:cs="仿宋_GB2312"/>
                <w:sz w:val="24"/>
                <w:szCs w:val="24"/>
                <w:highlight w:val="none"/>
              </w:rPr>
              <w:t>《网络交易监督管理办法》第四十二条  网络交易经营者违反本办法第十二条、第二十三条，未履行法定信息公示义务的，依照《中华人民共和国电子商务法》第七十六条的规定进行处罚。对其中的网络交易平台经营者，依照《中华人民共和国电子商务法》第八十一条第一款的规定进行处罚。</w:t>
            </w:r>
          </w:p>
          <w:p w14:paraId="6AD7B8E6">
            <w:pPr>
              <w:tabs>
                <w:tab w:val="left" w:pos="790"/>
                <w:tab w:val="left" w:pos="1264"/>
              </w:tabs>
              <w:overflowPunct w:val="0"/>
              <w:adjustRightInd w:val="0"/>
              <w:snapToGrid w:val="0"/>
              <w:spacing w:line="32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《中华人民共和国电子商务法》第七十六条  电子商务经营者违反本法规定，有下列行为之一的，由市场监督管理部门责令限期改正，可以处一万元以下的罚款，对其中的电子商务平台经营者，依照本法第八十一条第一款的规定处罚：（一）未在首页显著位置公示营业执照信息、行政许可信息、属于不需要办理市场主体登记情形等信息,或者上述信息的链接标识的；（二）未在首页显著位置持续公示终止电子商务的有关信息的；（三）未明示用户信息查询、更正、删除以及用户注销的方式、程序，或者对用户信息查询、更正、删除以及用户注销设置不合理条件的。</w:t>
            </w:r>
          </w:p>
          <w:p w14:paraId="1C109972">
            <w:pPr>
              <w:tabs>
                <w:tab w:val="left" w:pos="790"/>
                <w:tab w:val="left" w:pos="1264"/>
              </w:tabs>
              <w:overflowPunct w:val="0"/>
              <w:adjustRightInd w:val="0"/>
              <w:snapToGrid w:val="0"/>
              <w:spacing w:line="320" w:lineRule="exact"/>
              <w:rPr>
                <w:rFonts w:hint="eastAsia" w:ascii="仿宋_GB2312" w:hAnsi="仿宋_GB2312" w:eastAsia="仿宋_GB2312" w:cs="仿宋_GB2312"/>
                <w:sz w:val="24"/>
                <w:szCs w:val="24"/>
                <w:highlight w:val="none"/>
                <w:lang w:val="en" w:eastAsia="zh-CN"/>
              </w:rPr>
            </w:pPr>
            <w:r>
              <w:rPr>
                <w:rFonts w:hint="eastAsia" w:ascii="仿宋_GB2312" w:hAnsi="仿宋_GB2312" w:eastAsia="仿宋_GB2312" w:cs="仿宋_GB2312"/>
                <w:sz w:val="24"/>
                <w:szCs w:val="24"/>
                <w:highlight w:val="none"/>
              </w:rPr>
              <w:t>电子商务平台经营者对违反前款规定的平台内经营者未采取必要措施的，由市场监督管理部门责令限期改正，可以处二万元以上十万元以下的罚款。</w:t>
            </w:r>
          </w:p>
          <w:p w14:paraId="551DC087">
            <w:pPr>
              <w:tabs>
                <w:tab w:val="left" w:pos="790"/>
                <w:tab w:val="left" w:pos="1264"/>
              </w:tabs>
              <w:overflowPunct w:val="0"/>
              <w:adjustRightInd w:val="0"/>
              <w:snapToGrid w:val="0"/>
              <w:spacing w:line="32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第八十一条第一款  电子商务平台经营者违反本法规定，有下列行为之一的，由市场监督管理部门责令限期改正，可以处二万元以上十万元以下的罚款；情节严重的，处十万元以上五十万元以下的罚款…</w:t>
            </w:r>
          </w:p>
        </w:tc>
        <w:tc>
          <w:tcPr>
            <w:tcW w:w="3151" w:type="dxa"/>
            <w:noWrap w:val="0"/>
            <w:vAlign w:val="center"/>
          </w:tcPr>
          <w:p w14:paraId="2E944AB0">
            <w:pP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1.初次违法；</w:t>
            </w:r>
          </w:p>
          <w:p w14:paraId="480C3A83">
            <w:pP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2.没有造成危害后果或者危害后果轻微；</w:t>
            </w:r>
          </w:p>
          <w:p w14:paraId="7144A93C">
            <w:pPr>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color w:val="auto"/>
                <w:kern w:val="0"/>
                <w:sz w:val="24"/>
                <w:szCs w:val="24"/>
                <w:highlight w:val="none"/>
                <w:u w:val="none"/>
                <w:lang w:val="en-US" w:eastAsia="zh-CN" w:bidi="ar"/>
              </w:rPr>
              <w:t>3.及时改正。</w:t>
            </w:r>
          </w:p>
        </w:tc>
      </w:tr>
      <w:tr w14:paraId="3408B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14:paraId="0E6E918B">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20</w:t>
            </w:r>
          </w:p>
          <w:p w14:paraId="64D9C243">
            <w:pPr>
              <w:pStyle w:val="2"/>
              <w:rPr>
                <w:rFonts w:hint="eastAsia" w:ascii="仿宋_GB2312" w:hAnsi="仿宋_GB2312" w:eastAsia="仿宋_GB2312" w:cs="仿宋_GB2312"/>
                <w:sz w:val="24"/>
                <w:szCs w:val="24"/>
                <w:highlight w:val="none"/>
                <w:lang w:val="en-US" w:eastAsia="zh-CN"/>
              </w:rPr>
            </w:pPr>
          </w:p>
        </w:tc>
        <w:tc>
          <w:tcPr>
            <w:tcW w:w="2378" w:type="dxa"/>
            <w:noWrap w:val="0"/>
            <w:vAlign w:val="center"/>
          </w:tcPr>
          <w:p w14:paraId="3FCB3F00">
            <w:pPr>
              <w:pStyle w:val="2"/>
              <w:ind w:left="0" w:leftChars="0" w:firstLine="0" w:firstLineChars="0"/>
              <w:rPr>
                <w:rFonts w:hint="eastAsia" w:eastAsia="宋体" w:cs="宋体"/>
              </w:rPr>
            </w:pPr>
            <w:r>
              <w:rPr>
                <w:rFonts w:hint="eastAsia" w:eastAsia="宋体" w:cs="宋体"/>
              </w:rPr>
              <w:t>经营者违反明码标价规定，不标明价格</w:t>
            </w:r>
            <w:r>
              <w:rPr>
                <w:rFonts w:hint="eastAsia" w:eastAsia="宋体" w:cs="宋体"/>
                <w:lang w:eastAsia="zh-CN"/>
              </w:rPr>
              <w:t>，或者</w:t>
            </w:r>
            <w:r>
              <w:rPr>
                <w:rFonts w:hint="eastAsia" w:eastAsia="宋体" w:cs="宋体"/>
              </w:rPr>
              <w:t>不按照规定的内容和方式明码标价</w:t>
            </w:r>
          </w:p>
          <w:p w14:paraId="11EF216A">
            <w:pPr>
              <w:pStyle w:val="2"/>
              <w:ind w:left="0" w:leftChars="0" w:firstLine="0" w:firstLineChars="0"/>
              <w:rPr>
                <w:rFonts w:hint="eastAsia" w:ascii="仿宋_GB2312" w:hAnsi="仿宋_GB2312" w:eastAsia="仿宋_GB2312" w:cs="仿宋_GB2312"/>
                <w:sz w:val="24"/>
                <w:szCs w:val="24"/>
              </w:rPr>
            </w:pPr>
          </w:p>
        </w:tc>
        <w:tc>
          <w:tcPr>
            <w:tcW w:w="7938" w:type="dxa"/>
            <w:noWrap w:val="0"/>
            <w:vAlign w:val="center"/>
          </w:tcPr>
          <w:p w14:paraId="27262E74">
            <w:pPr>
              <w:tabs>
                <w:tab w:val="left" w:pos="790"/>
                <w:tab w:val="left" w:pos="1264"/>
              </w:tabs>
              <w:overflowPunct w:val="0"/>
              <w:adjustRightInd w:val="0"/>
              <w:snapToGrid w:val="0"/>
              <w:spacing w:line="32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《中华人民共和国价格法》第十三条第一款  经营者销售、收购商品和提供服务，应当按照政府价格主管部门的规定明码标价，注明商品的品名、产地、规格、等级、计价单位、价格或者服务的项目、收费标准等有关情况。</w:t>
            </w:r>
          </w:p>
          <w:p w14:paraId="49B1670C">
            <w:pPr>
              <w:tabs>
                <w:tab w:val="left" w:pos="790"/>
                <w:tab w:val="left" w:pos="1264"/>
              </w:tabs>
              <w:overflowPunct w:val="0"/>
              <w:adjustRightInd w:val="0"/>
              <w:snapToGrid w:val="0"/>
              <w:spacing w:line="32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zh-CN"/>
              </w:rPr>
              <w:t>第四十二条　经营者违反明码标价规定的，责令改正，没收违法所得，可以并处五千元以下的罚款。</w:t>
            </w:r>
          </w:p>
          <w:p w14:paraId="2D3E3DAA">
            <w:pPr>
              <w:tabs>
                <w:tab w:val="left" w:pos="790"/>
                <w:tab w:val="left" w:pos="1264"/>
              </w:tabs>
              <w:overflowPunct w:val="0"/>
              <w:adjustRightInd w:val="0"/>
              <w:snapToGrid w:val="0"/>
              <w:spacing w:line="32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《价格违法行为行政处罚规定》第十三条第一项  经营者违反明码标价规定，有下列行为之一的，责令改正，没收违法所得，可以并处5000元以下的罚款：（一</w:t>
            </w:r>
            <w:r>
              <w:rPr>
                <w:rFonts w:hint="eastAsia" w:ascii="仿宋_GB2312" w:hAnsi="仿宋_GB2312" w:eastAsia="仿宋_GB2312" w:cs="仿宋_GB2312"/>
                <w:sz w:val="24"/>
                <w:szCs w:val="24"/>
                <w:highlight w:val="none"/>
                <w:lang w:val="en"/>
              </w:rPr>
              <w:t>）</w:t>
            </w:r>
            <w:r>
              <w:rPr>
                <w:rFonts w:hint="eastAsia" w:ascii="仿宋_GB2312" w:hAnsi="仿宋_GB2312" w:eastAsia="仿宋_GB2312" w:cs="仿宋_GB2312"/>
                <w:sz w:val="24"/>
                <w:szCs w:val="24"/>
                <w:highlight w:val="none"/>
              </w:rPr>
              <w:t>不标明价格的；（二</w:t>
            </w:r>
            <w:r>
              <w:rPr>
                <w:rFonts w:hint="eastAsia" w:ascii="仿宋_GB2312" w:hAnsi="仿宋_GB2312" w:eastAsia="仿宋_GB2312" w:cs="仿宋_GB2312"/>
                <w:sz w:val="24"/>
                <w:szCs w:val="24"/>
                <w:highlight w:val="none"/>
                <w:lang w:val="en"/>
              </w:rPr>
              <w:t>）</w:t>
            </w:r>
            <w:r>
              <w:rPr>
                <w:rFonts w:hint="eastAsia" w:ascii="仿宋_GB2312" w:hAnsi="仿宋_GB2312" w:eastAsia="仿宋_GB2312" w:cs="仿宋_GB2312"/>
                <w:sz w:val="24"/>
                <w:szCs w:val="24"/>
                <w:highlight w:val="none"/>
              </w:rPr>
              <w:t>不按照规定的内容和方式明码标价的；</w:t>
            </w:r>
          </w:p>
        </w:tc>
        <w:tc>
          <w:tcPr>
            <w:tcW w:w="3151" w:type="dxa"/>
            <w:noWrap w:val="0"/>
            <w:vAlign w:val="center"/>
          </w:tcPr>
          <w:p w14:paraId="6677BA2F">
            <w:pP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1.初次违法；</w:t>
            </w:r>
          </w:p>
          <w:p w14:paraId="61BA44B9">
            <w:pP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2.没有造成危害后果或者危害后果轻微；</w:t>
            </w:r>
          </w:p>
          <w:p w14:paraId="7BC4D733">
            <w:pPr>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color w:val="auto"/>
                <w:kern w:val="0"/>
                <w:sz w:val="24"/>
                <w:szCs w:val="24"/>
                <w:highlight w:val="none"/>
                <w:u w:val="none"/>
                <w:lang w:val="en-US" w:eastAsia="zh-CN" w:bidi="ar"/>
              </w:rPr>
              <w:t>3.及时改正。</w:t>
            </w:r>
          </w:p>
        </w:tc>
      </w:tr>
      <w:tr w14:paraId="4DB29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14:paraId="1B31E8E5">
            <w:pPr>
              <w:pStyle w:val="2"/>
              <w:ind w:left="0" w:leftChars="0" w:firstLine="0" w:firstLineChars="0"/>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21</w:t>
            </w:r>
          </w:p>
        </w:tc>
        <w:tc>
          <w:tcPr>
            <w:tcW w:w="2378" w:type="dxa"/>
            <w:noWrap w:val="0"/>
            <w:vAlign w:val="center"/>
          </w:tcPr>
          <w:p w14:paraId="3AC9D91D">
            <w:pPr>
              <w:pStyle w:val="2"/>
              <w:ind w:left="0" w:leftChars="0" w:firstLine="0" w:firstLineChars="0"/>
              <w:rPr>
                <w:rFonts w:hint="eastAsia"/>
              </w:rPr>
            </w:pPr>
            <w:r>
              <w:rPr>
                <w:rFonts w:hint="eastAsia"/>
              </w:rPr>
              <w:t>系统成员转让厂商识别代码和相应条码</w:t>
            </w:r>
          </w:p>
          <w:p w14:paraId="249D773F">
            <w:pPr>
              <w:rPr>
                <w:rFonts w:hint="eastAsia"/>
                <w:lang w:eastAsia="zh-CN"/>
              </w:rPr>
            </w:pPr>
          </w:p>
        </w:tc>
        <w:tc>
          <w:tcPr>
            <w:tcW w:w="7938" w:type="dxa"/>
            <w:noWrap w:val="0"/>
            <w:vAlign w:val="center"/>
          </w:tcPr>
          <w:p w14:paraId="39D8D991">
            <w:pPr>
              <w:tabs>
                <w:tab w:val="left" w:pos="790"/>
                <w:tab w:val="left" w:pos="1264"/>
              </w:tabs>
              <w:overflowPunct w:val="0"/>
              <w:adjustRightInd w:val="0"/>
              <w:snapToGrid w:val="0"/>
              <w:spacing w:line="32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《商品条码管理办法》第二十条 系统成员不得将其厂商识别代码和相应的商品条码转让他人使用。</w:t>
            </w:r>
          </w:p>
          <w:p w14:paraId="22DC1EE4">
            <w:pPr>
              <w:tabs>
                <w:tab w:val="left" w:pos="790"/>
                <w:tab w:val="left" w:pos="1264"/>
              </w:tabs>
              <w:overflowPunct w:val="0"/>
              <w:adjustRightInd w:val="0"/>
              <w:snapToGrid w:val="0"/>
              <w:spacing w:line="32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第三十四条 系统成员转让厂商识别代码和相应条码的，责令其改正，没收违法所得，处以3000元罚款。</w:t>
            </w:r>
          </w:p>
        </w:tc>
        <w:tc>
          <w:tcPr>
            <w:tcW w:w="3151" w:type="dxa"/>
            <w:noWrap w:val="0"/>
            <w:vAlign w:val="center"/>
          </w:tcPr>
          <w:p w14:paraId="3CB5C092">
            <w:pP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1.初次违法；</w:t>
            </w:r>
          </w:p>
          <w:p w14:paraId="4680F8A7">
            <w:pP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2.没有造成危害后果或者危害后果轻微；</w:t>
            </w:r>
          </w:p>
          <w:p w14:paraId="665CF8AC">
            <w:pPr>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color w:val="auto"/>
                <w:kern w:val="0"/>
                <w:sz w:val="24"/>
                <w:szCs w:val="24"/>
                <w:highlight w:val="none"/>
                <w:u w:val="none"/>
                <w:lang w:val="en-US" w:eastAsia="zh-CN" w:bidi="ar"/>
              </w:rPr>
              <w:t>3.及时改正。</w:t>
            </w:r>
          </w:p>
        </w:tc>
      </w:tr>
      <w:tr w14:paraId="4816F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14:paraId="2FF866E0">
            <w:pPr>
              <w:pStyle w:val="2"/>
              <w:ind w:left="0" w:leftChars="0" w:firstLine="0" w:firstLineChars="0"/>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22</w:t>
            </w:r>
          </w:p>
        </w:tc>
        <w:tc>
          <w:tcPr>
            <w:tcW w:w="2378" w:type="dxa"/>
            <w:noWrap w:val="0"/>
            <w:vAlign w:val="center"/>
          </w:tcPr>
          <w:p w14:paraId="39C577D4">
            <w:pPr>
              <w:pStyle w:val="2"/>
              <w:ind w:left="0" w:leftChars="0" w:firstLine="0" w:firstLineChars="0"/>
              <w:rPr>
                <w:rFonts w:hint="eastAsia"/>
              </w:rPr>
            </w:pPr>
            <w:r>
              <w:rPr>
                <w:rFonts w:hint="eastAsia"/>
              </w:rPr>
              <w:t>未经核准注册使用厂商识别代码和相应商品条码，在商品包装上使用其他条码冒充商品条码或伪造商品条码，或者使用已经注销的厂商识别代码和相应商品条码</w:t>
            </w:r>
          </w:p>
          <w:p w14:paraId="0CAAA486">
            <w:pPr>
              <w:rPr>
                <w:rFonts w:hint="eastAsia"/>
              </w:rPr>
            </w:pPr>
          </w:p>
        </w:tc>
        <w:tc>
          <w:tcPr>
            <w:tcW w:w="7938" w:type="dxa"/>
            <w:noWrap w:val="0"/>
            <w:vAlign w:val="center"/>
          </w:tcPr>
          <w:p w14:paraId="33311D0B">
            <w:pPr>
              <w:tabs>
                <w:tab w:val="left" w:pos="790"/>
                <w:tab w:val="left" w:pos="1264"/>
              </w:tabs>
              <w:overflowPunct w:val="0"/>
              <w:adjustRightInd w:val="0"/>
              <w:snapToGrid w:val="0"/>
              <w:spacing w:line="32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《商品条码管理办法》第二十一条 任何单位和个人未经核准注册不得使用厂商识别代码和相应的条码。</w:t>
            </w:r>
          </w:p>
          <w:p w14:paraId="51244537">
            <w:pPr>
              <w:tabs>
                <w:tab w:val="left" w:pos="790"/>
                <w:tab w:val="left" w:pos="1264"/>
              </w:tabs>
              <w:overflowPunct w:val="0"/>
              <w:adjustRightInd w:val="0"/>
              <w:snapToGrid w:val="0"/>
              <w:spacing w:line="32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任何单位和个人不得在商品包装上使用其他条码冒充商品条码；不得伪造商品条码。</w:t>
            </w:r>
          </w:p>
          <w:p w14:paraId="32171E92">
            <w:pPr>
              <w:pStyle w:val="2"/>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rPr>
              <w:t>第三十二条　任何单位和个人不得擅自使用已经注销的厂商识别代码和相应条码。</w:t>
            </w:r>
          </w:p>
          <w:p w14:paraId="6E74492C">
            <w:pPr>
              <w:tabs>
                <w:tab w:val="left" w:pos="790"/>
                <w:tab w:val="left" w:pos="1264"/>
              </w:tabs>
              <w:overflowPunct w:val="0"/>
              <w:adjustRightInd w:val="0"/>
              <w:snapToGrid w:val="0"/>
              <w:spacing w:line="32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第三十五条 未经核准注册使用厂商识别代码和相应商品条码的，在商品包装上使用其他条码冒充商品条码或伪造商品条码的，或者使用已经注销的厂商识别代码和相应商品条码的，责令其改正，处以30000元以下罚款。</w:t>
            </w:r>
          </w:p>
        </w:tc>
        <w:tc>
          <w:tcPr>
            <w:tcW w:w="3151" w:type="dxa"/>
            <w:noWrap w:val="0"/>
            <w:vAlign w:val="center"/>
          </w:tcPr>
          <w:p w14:paraId="1704AF48">
            <w:pP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1.初次违法；</w:t>
            </w:r>
          </w:p>
          <w:p w14:paraId="40E5C68C">
            <w:pP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2.没有造成危害后果或者危害后果轻微；</w:t>
            </w:r>
          </w:p>
          <w:p w14:paraId="14529CB1">
            <w:pPr>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color w:val="auto"/>
                <w:kern w:val="0"/>
                <w:sz w:val="24"/>
                <w:szCs w:val="24"/>
                <w:highlight w:val="none"/>
                <w:u w:val="none"/>
                <w:lang w:val="en-US" w:eastAsia="zh-CN" w:bidi="ar"/>
              </w:rPr>
              <w:t>3.及时改正。</w:t>
            </w:r>
          </w:p>
        </w:tc>
      </w:tr>
      <w:tr w14:paraId="0E990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14:paraId="32A74453">
            <w:pPr>
              <w:pStyle w:val="2"/>
              <w:ind w:left="0" w:leftChars="0" w:firstLine="0" w:firstLineChars="0"/>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23</w:t>
            </w:r>
          </w:p>
        </w:tc>
        <w:tc>
          <w:tcPr>
            <w:tcW w:w="2378" w:type="dxa"/>
            <w:noWrap w:val="0"/>
            <w:vAlign w:val="center"/>
          </w:tcPr>
          <w:p w14:paraId="0880A597">
            <w:pPr>
              <w:pStyle w:val="2"/>
              <w:ind w:left="0" w:leftChars="0" w:firstLine="0" w:firstLineChars="0"/>
              <w:rPr>
                <w:rFonts w:hint="eastAsia"/>
              </w:rPr>
            </w:pPr>
            <w:r>
              <w:rPr>
                <w:rFonts w:hint="eastAsia"/>
              </w:rPr>
              <w:t>经销的商品印有未经核准注册、备案或者伪造的商品条码</w:t>
            </w:r>
          </w:p>
          <w:p w14:paraId="6546889D">
            <w:pPr>
              <w:rPr>
                <w:rFonts w:hint="eastAsia"/>
              </w:rPr>
            </w:pPr>
          </w:p>
        </w:tc>
        <w:tc>
          <w:tcPr>
            <w:tcW w:w="7938" w:type="dxa"/>
            <w:noWrap w:val="0"/>
            <w:vAlign w:val="center"/>
          </w:tcPr>
          <w:p w14:paraId="71664B34">
            <w:pPr>
              <w:keepNext w:val="0"/>
              <w:keepLines w:val="0"/>
              <w:pageBreakBefore w:val="0"/>
              <w:widowControl/>
              <w:numPr>
                <w:ilvl w:val="0"/>
                <w:numId w:val="0"/>
              </w:numPr>
              <w:kinsoku/>
              <w:wordWrap/>
              <w:topLinePunct w:val="0"/>
              <w:autoSpaceDE/>
              <w:autoSpaceDN/>
              <w:bidi w:val="0"/>
              <w:adjustRightInd w:val="0"/>
              <w:snapToGrid w:val="0"/>
              <w:spacing w:line="280" w:lineRule="exact"/>
              <w:jc w:val="both"/>
              <w:textAlignment w:val="center"/>
              <w:rPr>
                <w:rFonts w:hint="eastAsia" w:ascii="仿宋_GB2312" w:hAnsi="仿宋_GB2312" w:eastAsia="仿宋_GB2312" w:cs="仿宋_GB2312"/>
                <w:color w:val="auto"/>
                <w:spacing w:val="0"/>
                <w:w w:val="100"/>
                <w:kern w:val="2"/>
                <w:sz w:val="24"/>
                <w:szCs w:val="24"/>
                <w:highlight w:val="none"/>
                <w:lang w:bidi="ar"/>
              </w:rPr>
            </w:pPr>
            <w:r>
              <w:rPr>
                <w:rFonts w:hint="eastAsia" w:ascii="仿宋_GB2312" w:hAnsi="仿宋_GB2312" w:eastAsia="仿宋_GB2312" w:cs="仿宋_GB2312"/>
                <w:kern w:val="2"/>
                <w:sz w:val="24"/>
                <w:szCs w:val="24"/>
                <w:lang w:val="en-US" w:eastAsia="zh-CN"/>
              </w:rPr>
              <w:t>《商品条码管理办法》</w:t>
            </w:r>
            <w:r>
              <w:rPr>
                <w:rFonts w:hint="eastAsia" w:ascii="仿宋_GB2312" w:hAnsi="仿宋_GB2312" w:eastAsia="仿宋_GB2312" w:cs="仿宋_GB2312"/>
                <w:color w:val="auto"/>
                <w:spacing w:val="0"/>
                <w:w w:val="100"/>
                <w:kern w:val="2"/>
                <w:sz w:val="24"/>
                <w:szCs w:val="24"/>
                <w:highlight w:val="none"/>
                <w:lang w:bidi="ar"/>
              </w:rPr>
              <w:t>第二十一条</w:t>
            </w:r>
            <w:r>
              <w:rPr>
                <w:rFonts w:hint="eastAsia" w:ascii="仿宋_GB2312" w:hAnsi="仿宋_GB2312" w:eastAsia="仿宋_GB2312" w:cs="仿宋_GB2312"/>
                <w:color w:val="auto"/>
                <w:spacing w:val="0"/>
                <w:w w:val="100"/>
                <w:kern w:val="2"/>
                <w:sz w:val="24"/>
                <w:szCs w:val="24"/>
                <w:highlight w:val="none"/>
                <w:lang w:val="en-US" w:eastAsia="zh-CN" w:bidi="ar"/>
              </w:rPr>
              <w:t xml:space="preserve">  </w:t>
            </w:r>
            <w:r>
              <w:rPr>
                <w:rFonts w:hint="eastAsia" w:ascii="仿宋_GB2312" w:hAnsi="仿宋_GB2312" w:eastAsia="仿宋_GB2312" w:cs="仿宋_GB2312"/>
                <w:color w:val="auto"/>
                <w:spacing w:val="0"/>
                <w:w w:val="100"/>
                <w:kern w:val="2"/>
                <w:sz w:val="24"/>
                <w:szCs w:val="24"/>
                <w:highlight w:val="none"/>
                <w:lang w:bidi="ar"/>
              </w:rPr>
              <w:t>任何单位和个人未经核准注册不得使用厂商识别代码和相应的条码。</w:t>
            </w:r>
          </w:p>
          <w:p w14:paraId="4B7C394F">
            <w:pPr>
              <w:keepNext w:val="0"/>
              <w:keepLines w:val="0"/>
              <w:pageBreakBefore w:val="0"/>
              <w:widowControl/>
              <w:numPr>
                <w:ilvl w:val="0"/>
                <w:numId w:val="0"/>
              </w:numPr>
              <w:kinsoku/>
              <w:wordWrap/>
              <w:topLinePunct w:val="0"/>
              <w:autoSpaceDE/>
              <w:autoSpaceDN/>
              <w:bidi w:val="0"/>
              <w:adjustRightInd w:val="0"/>
              <w:snapToGrid w:val="0"/>
              <w:spacing w:line="280" w:lineRule="exact"/>
              <w:jc w:val="both"/>
              <w:textAlignment w:val="center"/>
              <w:rPr>
                <w:rFonts w:hint="eastAsia" w:ascii="仿宋_GB2312" w:hAnsi="仿宋_GB2312" w:eastAsia="仿宋_GB2312" w:cs="仿宋_GB2312"/>
                <w:color w:val="auto"/>
                <w:spacing w:val="0"/>
                <w:w w:val="100"/>
                <w:kern w:val="2"/>
                <w:sz w:val="24"/>
                <w:szCs w:val="24"/>
                <w:highlight w:val="none"/>
                <w:lang w:bidi="ar"/>
              </w:rPr>
            </w:pPr>
            <w:r>
              <w:rPr>
                <w:rFonts w:hint="eastAsia" w:ascii="仿宋_GB2312" w:hAnsi="仿宋_GB2312" w:eastAsia="仿宋_GB2312" w:cs="仿宋_GB2312"/>
                <w:color w:val="auto"/>
                <w:spacing w:val="0"/>
                <w:w w:val="100"/>
                <w:kern w:val="2"/>
                <w:sz w:val="24"/>
                <w:szCs w:val="24"/>
                <w:highlight w:val="none"/>
                <w:lang w:bidi="ar"/>
              </w:rPr>
              <w:t>任何单位和个人不得在商品包装上使用其他条码冒充商品条码；不得伪造商品条码。</w:t>
            </w:r>
          </w:p>
          <w:p w14:paraId="66E947F6">
            <w:pPr>
              <w:keepNext w:val="0"/>
              <w:keepLines w:val="0"/>
              <w:pageBreakBefore w:val="0"/>
              <w:widowControl/>
              <w:numPr>
                <w:ilvl w:val="0"/>
                <w:numId w:val="0"/>
              </w:numPr>
              <w:kinsoku/>
              <w:wordWrap/>
              <w:topLinePunct w:val="0"/>
              <w:autoSpaceDE/>
              <w:autoSpaceDN/>
              <w:bidi w:val="0"/>
              <w:adjustRightInd w:val="0"/>
              <w:snapToGrid w:val="0"/>
              <w:spacing w:line="280" w:lineRule="exact"/>
              <w:jc w:val="both"/>
              <w:textAlignment w:val="center"/>
              <w:rPr>
                <w:rFonts w:hint="eastAsia" w:ascii="仿宋_GB2312" w:hAnsi="仿宋_GB2312" w:eastAsia="仿宋_GB2312" w:cs="仿宋_GB2312"/>
                <w:color w:val="auto"/>
                <w:spacing w:val="0"/>
                <w:w w:val="100"/>
                <w:kern w:val="2"/>
                <w:sz w:val="24"/>
                <w:szCs w:val="24"/>
                <w:highlight w:val="none"/>
                <w:lang w:bidi="ar"/>
              </w:rPr>
            </w:pPr>
            <w:r>
              <w:rPr>
                <w:rFonts w:hint="eastAsia" w:ascii="仿宋_GB2312" w:hAnsi="仿宋_GB2312" w:eastAsia="仿宋_GB2312" w:cs="仿宋_GB2312"/>
                <w:color w:val="auto"/>
                <w:spacing w:val="-6"/>
                <w:w w:val="100"/>
                <w:kern w:val="2"/>
                <w:sz w:val="24"/>
                <w:szCs w:val="24"/>
                <w:highlight w:val="none"/>
                <w:lang w:bidi="ar"/>
              </w:rPr>
              <w:t>第二十四条第一款</w:t>
            </w:r>
            <w:r>
              <w:rPr>
                <w:rFonts w:hint="eastAsia" w:ascii="仿宋_GB2312" w:hAnsi="仿宋_GB2312" w:eastAsia="仿宋_GB2312" w:cs="仿宋_GB2312"/>
                <w:color w:val="auto"/>
                <w:spacing w:val="-6"/>
                <w:w w:val="100"/>
                <w:kern w:val="2"/>
                <w:sz w:val="24"/>
                <w:szCs w:val="24"/>
                <w:highlight w:val="none"/>
                <w:lang w:val="en-US" w:eastAsia="zh-CN" w:bidi="ar"/>
              </w:rPr>
              <w:t xml:space="preserve">  </w:t>
            </w:r>
            <w:r>
              <w:rPr>
                <w:rFonts w:hint="eastAsia" w:ascii="仿宋_GB2312" w:hAnsi="仿宋_GB2312" w:eastAsia="仿宋_GB2312" w:cs="仿宋_GB2312"/>
                <w:color w:val="auto"/>
                <w:spacing w:val="0"/>
                <w:w w:val="100"/>
                <w:kern w:val="2"/>
                <w:sz w:val="24"/>
                <w:szCs w:val="24"/>
                <w:highlight w:val="none"/>
                <w:lang w:bidi="ar"/>
              </w:rPr>
              <w:t>销售者不得经销违反第二十一条规定的商品。</w:t>
            </w:r>
          </w:p>
          <w:p w14:paraId="0AFE3ED0">
            <w:pPr>
              <w:keepNext w:val="0"/>
              <w:keepLines w:val="0"/>
              <w:pageBreakBefore w:val="0"/>
              <w:widowControl/>
              <w:numPr>
                <w:ilvl w:val="0"/>
                <w:numId w:val="0"/>
              </w:numPr>
              <w:kinsoku/>
              <w:wordWrap/>
              <w:topLinePunct w:val="0"/>
              <w:autoSpaceDE/>
              <w:autoSpaceDN/>
              <w:bidi w:val="0"/>
              <w:adjustRightInd w:val="0"/>
              <w:snapToGrid w:val="0"/>
              <w:spacing w:line="280" w:lineRule="exact"/>
              <w:jc w:val="both"/>
              <w:textAlignment w:val="cente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color w:val="auto"/>
                <w:spacing w:val="0"/>
                <w:w w:val="100"/>
                <w:kern w:val="2"/>
                <w:sz w:val="24"/>
                <w:szCs w:val="24"/>
                <w:highlight w:val="none"/>
                <w:lang w:bidi="ar"/>
              </w:rPr>
              <w:t>第二十五条</w:t>
            </w:r>
            <w:r>
              <w:rPr>
                <w:rFonts w:hint="eastAsia" w:ascii="仿宋_GB2312" w:hAnsi="仿宋_GB2312" w:eastAsia="仿宋_GB2312" w:cs="仿宋_GB2312"/>
                <w:color w:val="auto"/>
                <w:spacing w:val="0"/>
                <w:w w:val="100"/>
                <w:kern w:val="2"/>
                <w:sz w:val="24"/>
                <w:szCs w:val="24"/>
                <w:highlight w:val="none"/>
                <w:lang w:val="en-US" w:eastAsia="zh-CN" w:bidi="ar"/>
              </w:rPr>
              <w:t xml:space="preserve">  </w:t>
            </w:r>
            <w:r>
              <w:rPr>
                <w:rFonts w:hint="eastAsia" w:ascii="仿宋_GB2312" w:hAnsi="仿宋_GB2312" w:eastAsia="仿宋_GB2312" w:cs="仿宋_GB2312"/>
                <w:color w:val="auto"/>
                <w:spacing w:val="0"/>
                <w:w w:val="100"/>
                <w:kern w:val="2"/>
                <w:sz w:val="24"/>
                <w:szCs w:val="24"/>
                <w:highlight w:val="none"/>
                <w:lang w:bidi="ar"/>
              </w:rPr>
              <w:t>在国内生产的商品使用境外注册的商品条码时，生产者应当提供该商品条码的注册证明、授权委托书等相关证明，并到所在地的编码分支机构备案，由编码分支机构将备案材料报送编码中心。</w:t>
            </w:r>
          </w:p>
          <w:p w14:paraId="34B35196">
            <w:pPr>
              <w:tabs>
                <w:tab w:val="left" w:pos="790"/>
                <w:tab w:val="left" w:pos="1264"/>
              </w:tabs>
              <w:overflowPunct w:val="0"/>
              <w:adjustRightInd w:val="0"/>
              <w:snapToGrid w:val="0"/>
              <w:spacing w:line="32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2"/>
                <w:sz w:val="24"/>
                <w:szCs w:val="24"/>
                <w:lang w:val="en-US" w:eastAsia="zh-CN"/>
              </w:rPr>
              <w:t>第三十六条  经销的商品印有未经核准注册、备案或者伪造的商品条码的，责令其改正，处以10000元以下罚款。</w:t>
            </w:r>
          </w:p>
        </w:tc>
        <w:tc>
          <w:tcPr>
            <w:tcW w:w="3151" w:type="dxa"/>
            <w:noWrap w:val="0"/>
            <w:vAlign w:val="center"/>
          </w:tcPr>
          <w:p w14:paraId="0757A6A7">
            <w:pP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1.初次违法；</w:t>
            </w:r>
          </w:p>
          <w:p w14:paraId="20037532">
            <w:pP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2.没有造成危害后果或者危害后果轻微；</w:t>
            </w:r>
          </w:p>
          <w:p w14:paraId="03E27AC9">
            <w:pPr>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color w:val="auto"/>
                <w:kern w:val="0"/>
                <w:sz w:val="24"/>
                <w:szCs w:val="24"/>
                <w:highlight w:val="none"/>
                <w:u w:val="none"/>
                <w:lang w:val="en-US" w:eastAsia="zh-CN" w:bidi="ar"/>
              </w:rPr>
              <w:t>3.及时改正。</w:t>
            </w:r>
          </w:p>
        </w:tc>
      </w:tr>
      <w:tr w14:paraId="46FF5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14:paraId="32BE2365">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24</w:t>
            </w:r>
          </w:p>
        </w:tc>
        <w:tc>
          <w:tcPr>
            <w:tcW w:w="2378" w:type="dxa"/>
            <w:noWrap w:val="0"/>
            <w:vAlign w:val="center"/>
          </w:tcPr>
          <w:p w14:paraId="43095358">
            <w:pPr>
              <w:pStyle w:val="2"/>
              <w:ind w:left="0" w:leftChars="0" w:firstLine="0" w:firstLineChars="0"/>
              <w:rPr>
                <w:rFonts w:hint="eastAsia"/>
                <w:lang w:val="en-US" w:eastAsia="zh-CN"/>
              </w:rPr>
            </w:pPr>
            <w:r>
              <w:rPr>
                <w:rFonts w:hint="eastAsia"/>
                <w:lang w:val="en-US" w:eastAsia="zh-CN"/>
              </w:rPr>
              <w:t>销售不符合保障人体健康和人身、财产安全的国家标准、行业标准的产品</w:t>
            </w:r>
          </w:p>
          <w:p w14:paraId="4296E251">
            <w:pPr>
              <w:rPr>
                <w:rFonts w:hint="eastAsia"/>
                <w:lang w:val="en-US" w:eastAsia="zh-CN"/>
              </w:rPr>
            </w:pPr>
          </w:p>
        </w:tc>
        <w:tc>
          <w:tcPr>
            <w:tcW w:w="7938" w:type="dxa"/>
            <w:noWrap w:val="0"/>
            <w:vAlign w:val="center"/>
          </w:tcPr>
          <w:p w14:paraId="0944AA2F">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2"/>
                <w:sz w:val="24"/>
                <w:szCs w:val="24"/>
                <w:highlight w:val="none"/>
                <w:lang w:val="en-US" w:eastAsia="zh-CN"/>
              </w:rPr>
              <w:t>《中华人民共和国产品质量法》第四十九条  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p>
        </w:tc>
        <w:tc>
          <w:tcPr>
            <w:tcW w:w="3151" w:type="dxa"/>
            <w:noWrap w:val="0"/>
            <w:vAlign w:val="center"/>
          </w:tcPr>
          <w:p w14:paraId="4A632518">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highlight w:val="none"/>
                <w:lang w:val="en" w:eastAsia="zh-CN"/>
              </w:rPr>
            </w:pPr>
            <w:r>
              <w:rPr>
                <w:rFonts w:hint="eastAsia" w:ascii="仿宋_GB2312" w:hAnsi="仿宋_GB2312" w:eastAsia="仿宋_GB2312" w:cs="仿宋_GB2312"/>
                <w:kern w:val="2"/>
                <w:sz w:val="24"/>
                <w:szCs w:val="24"/>
                <w:highlight w:val="none"/>
                <w:lang w:val="en-US" w:eastAsia="zh-CN"/>
              </w:rPr>
              <w:t>1</w:t>
            </w:r>
            <w:r>
              <w:rPr>
                <w:rFonts w:hint="eastAsia" w:ascii="仿宋_GB2312" w:hAnsi="仿宋_GB2312" w:eastAsia="仿宋_GB2312" w:cs="仿宋_GB2312"/>
                <w:kern w:val="2"/>
                <w:sz w:val="24"/>
                <w:szCs w:val="24"/>
                <w:highlight w:val="none"/>
                <w:lang w:val="en" w:eastAsia="zh-CN"/>
              </w:rPr>
              <w:t>．</w:t>
            </w:r>
            <w:r>
              <w:rPr>
                <w:rFonts w:hint="eastAsia" w:ascii="仿宋_GB2312" w:hAnsi="仿宋_GB2312" w:eastAsia="仿宋_GB2312" w:cs="仿宋_GB2312"/>
                <w:kern w:val="2"/>
                <w:sz w:val="24"/>
                <w:szCs w:val="24"/>
                <w:highlight w:val="none"/>
                <w:lang w:val="en-US" w:eastAsia="zh-CN"/>
              </w:rPr>
              <w:t>产品的不合格项目仅涉及标识；</w:t>
            </w:r>
          </w:p>
          <w:p w14:paraId="53CB1AD1">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highlight w:val="none"/>
                <w:lang w:val="en" w:eastAsia="zh-CN"/>
              </w:rPr>
            </w:pPr>
            <w:r>
              <w:rPr>
                <w:rFonts w:hint="eastAsia" w:ascii="仿宋_GB2312" w:hAnsi="仿宋_GB2312" w:eastAsia="仿宋_GB2312" w:cs="仿宋_GB2312"/>
                <w:kern w:val="2"/>
                <w:sz w:val="24"/>
                <w:szCs w:val="24"/>
                <w:highlight w:val="none"/>
                <w:lang w:val="en-US" w:eastAsia="zh-CN"/>
              </w:rPr>
              <w:t>2</w:t>
            </w:r>
            <w:r>
              <w:rPr>
                <w:rFonts w:hint="eastAsia" w:ascii="仿宋_GB2312" w:hAnsi="仿宋_GB2312" w:eastAsia="仿宋_GB2312" w:cs="仿宋_GB2312"/>
                <w:kern w:val="2"/>
                <w:sz w:val="24"/>
                <w:szCs w:val="24"/>
                <w:highlight w:val="none"/>
                <w:lang w:val="en" w:eastAsia="zh-CN"/>
              </w:rPr>
              <w:t>．</w:t>
            </w:r>
            <w:r>
              <w:rPr>
                <w:rFonts w:hint="eastAsia" w:ascii="仿宋_GB2312" w:hAnsi="仿宋_GB2312" w:eastAsia="仿宋_GB2312" w:cs="仿宋_GB2312"/>
                <w:kern w:val="2"/>
                <w:sz w:val="24"/>
                <w:szCs w:val="24"/>
                <w:highlight w:val="none"/>
                <w:lang w:val="en-US" w:eastAsia="zh-CN"/>
              </w:rPr>
              <w:t>已主动将违法产品退回、召回、销毁或者整改完毕；</w:t>
            </w:r>
          </w:p>
          <w:p w14:paraId="24F1470B">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highlight w:val="none"/>
                <w:lang w:val="en" w:eastAsia="zh-CN"/>
              </w:rPr>
            </w:pPr>
            <w:r>
              <w:rPr>
                <w:rFonts w:hint="eastAsia" w:ascii="仿宋_GB2312" w:hAnsi="仿宋_GB2312" w:eastAsia="仿宋_GB2312" w:cs="仿宋_GB2312"/>
                <w:kern w:val="2"/>
                <w:sz w:val="24"/>
                <w:szCs w:val="24"/>
                <w:highlight w:val="none"/>
                <w:lang w:val="en-US" w:eastAsia="zh-CN"/>
              </w:rPr>
              <w:t>3</w:t>
            </w:r>
            <w:r>
              <w:rPr>
                <w:rFonts w:hint="eastAsia" w:ascii="仿宋_GB2312" w:hAnsi="仿宋_GB2312" w:eastAsia="仿宋_GB2312" w:cs="仿宋_GB2312"/>
                <w:kern w:val="2"/>
                <w:sz w:val="24"/>
                <w:szCs w:val="24"/>
                <w:highlight w:val="none"/>
                <w:lang w:val="en" w:eastAsia="zh-CN"/>
              </w:rPr>
              <w:t>．</w:t>
            </w:r>
            <w:r>
              <w:rPr>
                <w:rFonts w:hint="eastAsia" w:ascii="仿宋_GB2312" w:hAnsi="仿宋_GB2312" w:eastAsia="仿宋_GB2312" w:cs="仿宋_GB2312"/>
                <w:kern w:val="2"/>
                <w:sz w:val="24"/>
                <w:szCs w:val="24"/>
                <w:highlight w:val="none"/>
                <w:lang w:val="en-US" w:eastAsia="zh-CN"/>
              </w:rPr>
              <w:t>销售单位已按照《工业产品销售单位落实质量安全主体责任监督管理规定》落实质量安全主体责任；</w:t>
            </w:r>
          </w:p>
          <w:p w14:paraId="3403C0F5">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highlight w:val="none"/>
                <w:lang w:val="en" w:eastAsia="zh-CN"/>
              </w:rPr>
            </w:pPr>
            <w:r>
              <w:rPr>
                <w:rFonts w:hint="eastAsia" w:ascii="仿宋_GB2312" w:hAnsi="仿宋_GB2312" w:eastAsia="仿宋_GB2312" w:cs="仿宋_GB2312"/>
                <w:kern w:val="2"/>
                <w:sz w:val="24"/>
                <w:szCs w:val="24"/>
                <w:highlight w:val="none"/>
                <w:lang w:val="en-US" w:eastAsia="zh-CN"/>
              </w:rPr>
              <w:t>4</w:t>
            </w:r>
            <w:r>
              <w:rPr>
                <w:rFonts w:hint="eastAsia" w:ascii="仿宋_GB2312" w:hAnsi="仿宋_GB2312" w:eastAsia="仿宋_GB2312" w:cs="仿宋_GB2312"/>
                <w:kern w:val="2"/>
                <w:sz w:val="24"/>
                <w:szCs w:val="24"/>
                <w:highlight w:val="none"/>
                <w:lang w:val="en" w:eastAsia="zh-CN"/>
              </w:rPr>
              <w:t>．</w:t>
            </w:r>
            <w:r>
              <w:rPr>
                <w:rFonts w:hint="eastAsia" w:ascii="仿宋_GB2312" w:hAnsi="仿宋_GB2312" w:eastAsia="仿宋_GB2312" w:cs="仿宋_GB2312"/>
                <w:kern w:val="2"/>
                <w:sz w:val="24"/>
                <w:szCs w:val="24"/>
                <w:highlight w:val="none"/>
                <w:lang w:val="en-US" w:eastAsia="zh-CN"/>
              </w:rPr>
              <w:t>没有违法所得；</w:t>
            </w:r>
          </w:p>
          <w:p w14:paraId="2F8C8D49">
            <w:pPr>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2"/>
                <w:sz w:val="24"/>
                <w:szCs w:val="24"/>
                <w:highlight w:val="none"/>
                <w:lang w:val="en-US" w:eastAsia="zh-CN"/>
              </w:rPr>
              <w:t>5</w:t>
            </w:r>
            <w:r>
              <w:rPr>
                <w:rFonts w:hint="eastAsia" w:ascii="仿宋_GB2312" w:hAnsi="仿宋_GB2312" w:eastAsia="仿宋_GB2312" w:cs="仿宋_GB2312"/>
                <w:kern w:val="2"/>
                <w:sz w:val="24"/>
                <w:szCs w:val="24"/>
                <w:highlight w:val="none"/>
                <w:lang w:val="en" w:eastAsia="zh-CN"/>
              </w:rPr>
              <w:t>．</w:t>
            </w:r>
            <w:r>
              <w:rPr>
                <w:rFonts w:hint="eastAsia" w:ascii="仿宋_GB2312" w:hAnsi="仿宋_GB2312" w:eastAsia="仿宋_GB2312" w:cs="仿宋_GB2312"/>
                <w:sz w:val="24"/>
                <w:szCs w:val="24"/>
                <w:highlight w:val="none"/>
              </w:rPr>
              <w:t>初次违法。</w:t>
            </w:r>
          </w:p>
        </w:tc>
      </w:tr>
      <w:tr w14:paraId="59580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14:paraId="4D9E4C59">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25</w:t>
            </w:r>
          </w:p>
        </w:tc>
        <w:tc>
          <w:tcPr>
            <w:tcW w:w="2378" w:type="dxa"/>
            <w:noWrap w:val="0"/>
            <w:vAlign w:val="center"/>
          </w:tcPr>
          <w:p w14:paraId="7BEC2E24">
            <w:pPr>
              <w:pStyle w:val="2"/>
              <w:ind w:left="0" w:leftChars="0" w:firstLine="0" w:firstLineChars="0"/>
              <w:rPr>
                <w:rFonts w:hint="eastAsia"/>
                <w:lang w:val="en-US" w:eastAsia="zh-CN"/>
              </w:rPr>
            </w:pPr>
            <w:r>
              <w:rPr>
                <w:rFonts w:hint="eastAsia"/>
                <w:lang w:val="en-US" w:eastAsia="zh-CN"/>
              </w:rPr>
              <w:t>销售者以不合格产品冒充合格产品</w:t>
            </w:r>
          </w:p>
          <w:p w14:paraId="6A9D4921">
            <w:pPr>
              <w:rPr>
                <w:rFonts w:hint="eastAsia"/>
                <w:lang w:val="en-US" w:eastAsia="zh-CN"/>
              </w:rPr>
            </w:pPr>
          </w:p>
        </w:tc>
        <w:tc>
          <w:tcPr>
            <w:tcW w:w="7938" w:type="dxa"/>
            <w:noWrap w:val="0"/>
            <w:vAlign w:val="center"/>
          </w:tcPr>
          <w:p w14:paraId="20445932">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2"/>
                <w:sz w:val="24"/>
                <w:szCs w:val="24"/>
                <w:highlight w:val="none"/>
                <w:lang w:val="en-US" w:eastAsia="zh-CN"/>
              </w:rPr>
              <w:t>《中华人民共和国产品质量法》第五十条  在产品中掺杂、掺假，以假充真，以次充好，或者以不合格产品冒充合格产品的，责令停止生产、销售，没收违法生产、销售的产品，并处违法生产、销售产品货值金额百分之五十以上三倍以下的罚款；有违法所得的，并处没收违法所得；情节严重的，吊销营业执照；构成犯罪的，依法追究刑事责任。</w:t>
            </w:r>
          </w:p>
        </w:tc>
        <w:tc>
          <w:tcPr>
            <w:tcW w:w="3151" w:type="dxa"/>
            <w:noWrap w:val="0"/>
            <w:vAlign w:val="center"/>
          </w:tcPr>
          <w:p w14:paraId="544B9281">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highlight w:val="none"/>
                <w:lang w:val="en" w:eastAsia="zh-CN"/>
              </w:rPr>
            </w:pPr>
            <w:r>
              <w:rPr>
                <w:rFonts w:hint="eastAsia" w:ascii="仿宋_GB2312" w:hAnsi="仿宋_GB2312" w:eastAsia="仿宋_GB2312" w:cs="仿宋_GB2312"/>
                <w:kern w:val="2"/>
                <w:sz w:val="24"/>
                <w:szCs w:val="24"/>
                <w:highlight w:val="none"/>
                <w:lang w:val="en-US" w:eastAsia="zh-CN"/>
              </w:rPr>
              <w:t>1</w:t>
            </w:r>
            <w:r>
              <w:rPr>
                <w:rFonts w:hint="eastAsia" w:ascii="仿宋_GB2312" w:hAnsi="仿宋_GB2312" w:eastAsia="仿宋_GB2312" w:cs="仿宋_GB2312"/>
                <w:kern w:val="2"/>
                <w:sz w:val="24"/>
                <w:szCs w:val="24"/>
                <w:highlight w:val="none"/>
                <w:lang w:val="en" w:eastAsia="zh-CN"/>
              </w:rPr>
              <w:t>．</w:t>
            </w:r>
            <w:r>
              <w:rPr>
                <w:rFonts w:hint="eastAsia" w:ascii="仿宋_GB2312" w:hAnsi="仿宋_GB2312" w:eastAsia="仿宋_GB2312" w:cs="仿宋_GB2312"/>
                <w:kern w:val="2"/>
                <w:sz w:val="24"/>
                <w:szCs w:val="24"/>
                <w:highlight w:val="none"/>
                <w:lang w:val="en-US" w:eastAsia="zh-CN"/>
              </w:rPr>
              <w:t>产品的不合格项目仅涉及标识；</w:t>
            </w:r>
          </w:p>
          <w:p w14:paraId="0A36C7FD">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highlight w:val="none"/>
                <w:lang w:val="en" w:eastAsia="zh-CN"/>
              </w:rPr>
            </w:pPr>
            <w:r>
              <w:rPr>
                <w:rFonts w:hint="eastAsia" w:ascii="仿宋_GB2312" w:hAnsi="仿宋_GB2312" w:eastAsia="仿宋_GB2312" w:cs="仿宋_GB2312"/>
                <w:kern w:val="2"/>
                <w:sz w:val="24"/>
                <w:szCs w:val="24"/>
                <w:highlight w:val="none"/>
                <w:lang w:val="en-US" w:eastAsia="zh-CN"/>
              </w:rPr>
              <w:t>2</w:t>
            </w:r>
            <w:r>
              <w:rPr>
                <w:rFonts w:hint="eastAsia" w:ascii="仿宋_GB2312" w:hAnsi="仿宋_GB2312" w:eastAsia="仿宋_GB2312" w:cs="仿宋_GB2312"/>
                <w:kern w:val="2"/>
                <w:sz w:val="24"/>
                <w:szCs w:val="24"/>
                <w:highlight w:val="none"/>
                <w:lang w:val="en" w:eastAsia="zh-CN"/>
              </w:rPr>
              <w:t>．</w:t>
            </w:r>
            <w:r>
              <w:rPr>
                <w:rFonts w:hint="eastAsia" w:ascii="仿宋_GB2312" w:hAnsi="仿宋_GB2312" w:eastAsia="仿宋_GB2312" w:cs="仿宋_GB2312"/>
                <w:kern w:val="2"/>
                <w:sz w:val="24"/>
                <w:szCs w:val="24"/>
                <w:highlight w:val="none"/>
                <w:lang w:val="en-US" w:eastAsia="zh-CN"/>
              </w:rPr>
              <w:t>已主动将违法产品退回、召回、销毁或者整改完毕；</w:t>
            </w:r>
          </w:p>
          <w:p w14:paraId="2D835B39">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highlight w:val="none"/>
                <w:lang w:val="en" w:eastAsia="zh-CN"/>
              </w:rPr>
            </w:pPr>
            <w:r>
              <w:rPr>
                <w:rFonts w:hint="eastAsia" w:ascii="仿宋_GB2312" w:hAnsi="仿宋_GB2312" w:eastAsia="仿宋_GB2312" w:cs="仿宋_GB2312"/>
                <w:kern w:val="2"/>
                <w:sz w:val="24"/>
                <w:szCs w:val="24"/>
                <w:highlight w:val="none"/>
                <w:lang w:val="en-US" w:eastAsia="zh-CN"/>
              </w:rPr>
              <w:t>3</w:t>
            </w:r>
            <w:r>
              <w:rPr>
                <w:rFonts w:hint="eastAsia" w:ascii="仿宋_GB2312" w:hAnsi="仿宋_GB2312" w:eastAsia="仿宋_GB2312" w:cs="仿宋_GB2312"/>
                <w:kern w:val="2"/>
                <w:sz w:val="24"/>
                <w:szCs w:val="24"/>
                <w:highlight w:val="none"/>
                <w:lang w:val="en" w:eastAsia="zh-CN"/>
              </w:rPr>
              <w:t>．</w:t>
            </w:r>
            <w:r>
              <w:rPr>
                <w:rFonts w:hint="eastAsia" w:ascii="仿宋_GB2312" w:hAnsi="仿宋_GB2312" w:eastAsia="仿宋_GB2312" w:cs="仿宋_GB2312"/>
                <w:kern w:val="2"/>
                <w:sz w:val="24"/>
                <w:szCs w:val="24"/>
                <w:highlight w:val="none"/>
                <w:lang w:val="en-US" w:eastAsia="zh-CN"/>
              </w:rPr>
              <w:t>销售单位已按照《工业产品销售单位落实质量安全主体责任监督管理规定》落实质量安全主体责任；</w:t>
            </w:r>
          </w:p>
          <w:p w14:paraId="4CF67D3C">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highlight w:val="none"/>
                <w:lang w:val="en" w:eastAsia="zh-CN"/>
              </w:rPr>
            </w:pPr>
            <w:r>
              <w:rPr>
                <w:rFonts w:hint="eastAsia" w:ascii="仿宋_GB2312" w:hAnsi="仿宋_GB2312" w:eastAsia="仿宋_GB2312" w:cs="仿宋_GB2312"/>
                <w:kern w:val="2"/>
                <w:sz w:val="24"/>
                <w:szCs w:val="24"/>
                <w:highlight w:val="none"/>
                <w:lang w:val="en-US" w:eastAsia="zh-CN"/>
              </w:rPr>
              <w:t>4</w:t>
            </w:r>
            <w:r>
              <w:rPr>
                <w:rFonts w:hint="eastAsia" w:ascii="仿宋_GB2312" w:hAnsi="仿宋_GB2312" w:eastAsia="仿宋_GB2312" w:cs="仿宋_GB2312"/>
                <w:kern w:val="2"/>
                <w:sz w:val="24"/>
                <w:szCs w:val="24"/>
                <w:highlight w:val="none"/>
                <w:lang w:val="en" w:eastAsia="zh-CN"/>
              </w:rPr>
              <w:t>．</w:t>
            </w:r>
            <w:r>
              <w:rPr>
                <w:rFonts w:hint="eastAsia" w:ascii="仿宋_GB2312" w:hAnsi="仿宋_GB2312" w:eastAsia="仿宋_GB2312" w:cs="仿宋_GB2312"/>
                <w:kern w:val="2"/>
                <w:sz w:val="24"/>
                <w:szCs w:val="24"/>
                <w:highlight w:val="none"/>
                <w:lang w:val="en-US" w:eastAsia="zh-CN"/>
              </w:rPr>
              <w:t>没有违法所得；</w:t>
            </w:r>
          </w:p>
          <w:p w14:paraId="46CCA2DD">
            <w:pPr>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2"/>
                <w:sz w:val="24"/>
                <w:szCs w:val="24"/>
                <w:highlight w:val="none"/>
                <w:lang w:val="en-US" w:eastAsia="zh-CN"/>
              </w:rPr>
              <w:t>5</w:t>
            </w:r>
            <w:r>
              <w:rPr>
                <w:rFonts w:hint="eastAsia" w:ascii="仿宋_GB2312" w:hAnsi="仿宋_GB2312" w:eastAsia="仿宋_GB2312" w:cs="仿宋_GB2312"/>
                <w:kern w:val="2"/>
                <w:sz w:val="24"/>
                <w:szCs w:val="24"/>
                <w:highlight w:val="none"/>
                <w:lang w:val="en" w:eastAsia="zh-CN"/>
              </w:rPr>
              <w:t>．</w:t>
            </w:r>
            <w:r>
              <w:rPr>
                <w:rFonts w:hint="eastAsia" w:ascii="仿宋_GB2312" w:hAnsi="仿宋_GB2312" w:eastAsia="仿宋_GB2312" w:cs="仿宋_GB2312"/>
                <w:sz w:val="24"/>
                <w:szCs w:val="24"/>
                <w:highlight w:val="none"/>
              </w:rPr>
              <w:t>初次违法。</w:t>
            </w:r>
          </w:p>
        </w:tc>
      </w:tr>
      <w:tr w14:paraId="1F346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14:paraId="256F1C2E">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26</w:t>
            </w:r>
          </w:p>
        </w:tc>
        <w:tc>
          <w:tcPr>
            <w:tcW w:w="2378" w:type="dxa"/>
            <w:noWrap w:val="0"/>
            <w:vAlign w:val="center"/>
          </w:tcPr>
          <w:p w14:paraId="55F4687B">
            <w:pPr>
              <w:pStyle w:val="2"/>
              <w:ind w:left="0" w:leftChars="0" w:firstLine="0" w:firstLineChars="0"/>
              <w:rPr>
                <w:rFonts w:hint="eastAsia"/>
                <w:lang w:val="en-US" w:eastAsia="zh-CN"/>
              </w:rPr>
            </w:pPr>
            <w:r>
              <w:rPr>
                <w:rFonts w:hint="eastAsia"/>
                <w:lang w:val="en-US" w:eastAsia="zh-CN"/>
              </w:rPr>
              <w:t>生产、经营者将“驰名商标”字样用于商品、商品包装或者容器上，或者用于广告宣传、展览以及其他商业活动中</w:t>
            </w:r>
          </w:p>
          <w:p w14:paraId="0B10126D">
            <w:pPr>
              <w:rPr>
                <w:rFonts w:hint="eastAsia"/>
                <w:lang w:val="en-US" w:eastAsia="zh-CN"/>
              </w:rPr>
            </w:pPr>
          </w:p>
        </w:tc>
        <w:tc>
          <w:tcPr>
            <w:tcW w:w="7938" w:type="dxa"/>
            <w:noWrap w:val="0"/>
            <w:vAlign w:val="center"/>
          </w:tcPr>
          <w:p w14:paraId="2E3B6568">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highlight w:val="none"/>
                <w:lang w:val="en-US" w:eastAsia="zh-CN"/>
              </w:rPr>
            </w:pPr>
            <w:r>
              <w:rPr>
                <w:rFonts w:hint="eastAsia" w:ascii="仿宋_GB2312" w:hAnsi="仿宋_GB2312" w:eastAsia="仿宋_GB2312" w:cs="仿宋_GB2312"/>
                <w:kern w:val="2"/>
                <w:sz w:val="24"/>
                <w:szCs w:val="24"/>
                <w:highlight w:val="none"/>
                <w:lang w:val="en-US" w:eastAsia="zh-CN"/>
              </w:rPr>
              <w:t>《中华人民共和国商标法》第十四条第五款  生产、经营者不得将“驰名商标”字样用于商品、商品包装或者容器上，或者用于广告宣传、展览以及其他商业活动中。</w:t>
            </w:r>
          </w:p>
          <w:p w14:paraId="376CDCF7">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highlight w:val="none"/>
                <w:lang w:val="en-US" w:eastAsia="zh-CN"/>
              </w:rPr>
            </w:pPr>
            <w:r>
              <w:rPr>
                <w:rFonts w:hint="eastAsia" w:ascii="仿宋_GB2312" w:hAnsi="仿宋_GB2312" w:eastAsia="仿宋_GB2312" w:cs="仿宋_GB2312"/>
                <w:kern w:val="2"/>
                <w:sz w:val="24"/>
                <w:szCs w:val="24"/>
                <w:highlight w:val="none"/>
                <w:lang w:val="en-US" w:eastAsia="zh-CN"/>
              </w:rPr>
              <w:t>第五十三条  违反本法第十四条第五款规定的，由地方工商行政管理部门责令改正，处十万元罚款。</w:t>
            </w:r>
          </w:p>
        </w:tc>
        <w:tc>
          <w:tcPr>
            <w:tcW w:w="3151" w:type="dxa"/>
            <w:noWrap w:val="0"/>
            <w:vAlign w:val="center"/>
          </w:tcPr>
          <w:p w14:paraId="6D6391BD">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highlight w:val="none"/>
                <w:lang w:val="en" w:eastAsia="zh-CN"/>
              </w:rPr>
            </w:pPr>
            <w:r>
              <w:rPr>
                <w:rFonts w:hint="eastAsia" w:ascii="仿宋_GB2312" w:hAnsi="仿宋_GB2312" w:eastAsia="仿宋_GB2312" w:cs="仿宋_GB2312"/>
                <w:kern w:val="2"/>
                <w:sz w:val="24"/>
                <w:szCs w:val="24"/>
                <w:highlight w:val="none"/>
                <w:lang w:val="en-US" w:eastAsia="zh-CN"/>
              </w:rPr>
              <w:t>1</w:t>
            </w:r>
            <w:r>
              <w:rPr>
                <w:rFonts w:hint="eastAsia" w:ascii="仿宋_GB2312" w:hAnsi="仿宋_GB2312" w:eastAsia="仿宋_GB2312" w:cs="仿宋_GB2312"/>
                <w:kern w:val="2"/>
                <w:sz w:val="24"/>
                <w:szCs w:val="24"/>
                <w:highlight w:val="none"/>
                <w:lang w:val="en" w:eastAsia="zh-CN"/>
              </w:rPr>
              <w:t>．</w:t>
            </w:r>
            <w:r>
              <w:rPr>
                <w:rFonts w:hint="eastAsia" w:ascii="仿宋_GB2312" w:hAnsi="仿宋_GB2312" w:eastAsia="仿宋_GB2312" w:cs="仿宋_GB2312"/>
                <w:kern w:val="2"/>
                <w:sz w:val="24"/>
                <w:szCs w:val="24"/>
                <w:highlight w:val="none"/>
                <w:lang w:val="en-US" w:eastAsia="zh-CN"/>
              </w:rPr>
              <w:t>有获得“驰名商标”认定或保护记录；</w:t>
            </w:r>
          </w:p>
          <w:p w14:paraId="1C4A99FC">
            <w:pPr>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2"/>
                <w:sz w:val="24"/>
                <w:szCs w:val="24"/>
                <w:highlight w:val="none"/>
                <w:lang w:val="en-US" w:eastAsia="zh-CN"/>
              </w:rPr>
              <w:t>2</w:t>
            </w:r>
            <w:r>
              <w:rPr>
                <w:rFonts w:hint="eastAsia" w:ascii="仿宋_GB2312" w:hAnsi="仿宋_GB2312" w:eastAsia="仿宋_GB2312" w:cs="仿宋_GB2312"/>
                <w:kern w:val="2"/>
                <w:sz w:val="24"/>
                <w:szCs w:val="24"/>
                <w:highlight w:val="none"/>
                <w:lang w:val="en" w:eastAsia="zh-CN"/>
              </w:rPr>
              <w:t>．</w:t>
            </w:r>
            <w:r>
              <w:rPr>
                <w:rFonts w:hint="eastAsia" w:ascii="仿宋_GB2312" w:hAnsi="仿宋_GB2312" w:eastAsia="仿宋_GB2312" w:cs="仿宋_GB2312"/>
                <w:sz w:val="24"/>
                <w:szCs w:val="24"/>
                <w:highlight w:val="none"/>
              </w:rPr>
              <w:t>初次违法，及时改正，且没有造成危害后果</w:t>
            </w:r>
            <w:r>
              <w:rPr>
                <w:rFonts w:hint="eastAsia" w:ascii="仿宋_GB2312" w:hAnsi="仿宋_GB2312" w:eastAsia="仿宋_GB2312" w:cs="仿宋_GB2312"/>
                <w:sz w:val="24"/>
                <w:szCs w:val="24"/>
                <w:highlight w:val="none"/>
                <w:lang w:eastAsia="zh-CN"/>
              </w:rPr>
              <w:t>或者危害后果轻微</w:t>
            </w:r>
            <w:r>
              <w:rPr>
                <w:rFonts w:hint="eastAsia" w:ascii="仿宋_GB2312" w:hAnsi="仿宋_GB2312" w:eastAsia="仿宋_GB2312" w:cs="仿宋_GB2312"/>
                <w:sz w:val="24"/>
                <w:szCs w:val="24"/>
                <w:highlight w:val="none"/>
              </w:rPr>
              <w:t>。</w:t>
            </w:r>
          </w:p>
        </w:tc>
      </w:tr>
      <w:tr w14:paraId="083F4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14:paraId="4C695B6F">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27</w:t>
            </w:r>
          </w:p>
        </w:tc>
        <w:tc>
          <w:tcPr>
            <w:tcW w:w="2378" w:type="dxa"/>
            <w:noWrap w:val="0"/>
            <w:vAlign w:val="center"/>
          </w:tcPr>
          <w:p w14:paraId="4FB0CADF">
            <w:pPr>
              <w:pStyle w:val="2"/>
              <w:ind w:left="0" w:leftChars="0" w:firstLine="0" w:firstLineChars="0"/>
              <w:rPr>
                <w:rFonts w:hint="eastAsia"/>
                <w:lang w:val="en-US" w:eastAsia="zh-CN"/>
              </w:rPr>
            </w:pPr>
            <w:r>
              <w:rPr>
                <w:rFonts w:hint="eastAsia"/>
                <w:lang w:val="en-US" w:eastAsia="zh-CN"/>
              </w:rPr>
              <w:t>专利代理机构合伙人、股东或者法定代表人等事项发生变化未办理变更手续</w:t>
            </w:r>
          </w:p>
          <w:p w14:paraId="44A90C21">
            <w:pPr>
              <w:rPr>
                <w:rFonts w:hint="eastAsia"/>
                <w:lang w:val="en-US" w:eastAsia="zh-CN"/>
              </w:rPr>
            </w:pPr>
          </w:p>
        </w:tc>
        <w:tc>
          <w:tcPr>
            <w:tcW w:w="7938" w:type="dxa"/>
            <w:noWrap w:val="0"/>
            <w:vAlign w:val="center"/>
          </w:tcPr>
          <w:p w14:paraId="5AE4BA0A">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2"/>
                <w:sz w:val="24"/>
                <w:szCs w:val="24"/>
                <w:highlight w:val="none"/>
                <w:lang w:val="en-US" w:eastAsia="zh-CN"/>
              </w:rPr>
              <w:t>《专利代理条例》第二十五条第一款第一项  专利代理机构有下列行为之一的，由省、自治区、直辖市人民政府管理专利工作的部门责令限期改正，予以警告，可以处10万元以下的罚款；情节严重或者逾期未改正的，由国务院专利行政部门责令停止承接新的专利代理业务6个月至12个月，直至吊销专利代理机构执业许可证：（一）合伙人、股东或者法定代表人等事项发生变化未办理变更手续；</w:t>
            </w:r>
          </w:p>
        </w:tc>
        <w:tc>
          <w:tcPr>
            <w:tcW w:w="3151" w:type="dxa"/>
            <w:noWrap w:val="0"/>
            <w:vAlign w:val="center"/>
          </w:tcPr>
          <w:p w14:paraId="6B66EFB3">
            <w:pP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1.初次违法；</w:t>
            </w:r>
          </w:p>
          <w:p w14:paraId="28B1C2B8">
            <w:pP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2.没有造成危害后果或者危害后果轻微；</w:t>
            </w:r>
          </w:p>
          <w:p w14:paraId="68DD8D27">
            <w:pPr>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color w:val="auto"/>
                <w:kern w:val="0"/>
                <w:sz w:val="24"/>
                <w:szCs w:val="24"/>
                <w:highlight w:val="none"/>
                <w:u w:val="none"/>
                <w:lang w:val="en-US" w:eastAsia="zh-CN" w:bidi="ar"/>
              </w:rPr>
              <w:t>3.及时改正。</w:t>
            </w:r>
          </w:p>
        </w:tc>
      </w:tr>
      <w:tr w14:paraId="74D95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14:paraId="193FF9C4">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28</w:t>
            </w:r>
          </w:p>
        </w:tc>
        <w:tc>
          <w:tcPr>
            <w:tcW w:w="2378" w:type="dxa"/>
            <w:noWrap w:val="0"/>
            <w:vAlign w:val="center"/>
          </w:tcPr>
          <w:p w14:paraId="372701BA">
            <w:pPr>
              <w:pStyle w:val="2"/>
              <w:ind w:left="0" w:leftChars="0" w:firstLine="0" w:firstLineChars="0"/>
              <w:rPr>
                <w:rFonts w:hint="eastAsia"/>
                <w:lang w:val="en-US" w:eastAsia="zh-CN"/>
              </w:rPr>
            </w:pPr>
            <w:r>
              <w:rPr>
                <w:rFonts w:hint="eastAsia"/>
                <w:lang w:val="en-US" w:eastAsia="zh-CN"/>
              </w:rPr>
              <w:t>专利代理师未按照《专利代理条例》规定进行备案</w:t>
            </w:r>
          </w:p>
          <w:p w14:paraId="148681C6">
            <w:pPr>
              <w:rPr>
                <w:rFonts w:hint="eastAsia"/>
                <w:lang w:val="en-US" w:eastAsia="zh-CN"/>
              </w:rPr>
            </w:pPr>
          </w:p>
        </w:tc>
        <w:tc>
          <w:tcPr>
            <w:tcW w:w="7938" w:type="dxa"/>
            <w:noWrap w:val="0"/>
            <w:vAlign w:val="center"/>
          </w:tcPr>
          <w:p w14:paraId="6866DD53">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highlight w:val="none"/>
                <w:lang w:val="en-US" w:eastAsia="zh-CN"/>
              </w:rPr>
            </w:pPr>
            <w:r>
              <w:rPr>
                <w:rFonts w:hint="eastAsia" w:ascii="仿宋_GB2312" w:hAnsi="仿宋_GB2312" w:eastAsia="仿宋_GB2312" w:cs="仿宋_GB2312"/>
                <w:kern w:val="2"/>
                <w:sz w:val="24"/>
                <w:szCs w:val="24"/>
                <w:highlight w:val="none"/>
                <w:lang w:val="en-US" w:eastAsia="zh-CN"/>
              </w:rPr>
              <w:t>《专利代理条例》第十二条第一款  专利代理师首次执业，应当自执业之日起30日内向专利代理机构所在地省、自治区、直辖市人民政府管理专利工作的部门备案。</w:t>
            </w:r>
          </w:p>
          <w:p w14:paraId="5886D397">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highlight w:val="none"/>
                <w:lang w:val="en-US" w:eastAsia="zh-CN"/>
              </w:rPr>
            </w:pPr>
            <w:r>
              <w:rPr>
                <w:rFonts w:hint="eastAsia" w:ascii="仿宋_GB2312" w:hAnsi="仿宋_GB2312" w:eastAsia="仿宋_GB2312" w:cs="仿宋_GB2312"/>
                <w:kern w:val="2"/>
                <w:sz w:val="24"/>
                <w:szCs w:val="24"/>
                <w:highlight w:val="none"/>
                <w:lang w:val="en-US" w:eastAsia="zh-CN"/>
              </w:rPr>
              <w:t>第二十六条第一款第一项  专利代理师有下列行为之一的，由省、自治区、直辖市人民政府管理专利工作的部门责令限期改正，予以警告，可以处5万元以下的罚款；情节严重或者逾期未改正的，由国务院专利行政部门责令停止承办新的专利代理业务6个月至12个月，直至吊销专利代理师资格证：（一）未依照本条例规定进行备案；</w:t>
            </w:r>
          </w:p>
        </w:tc>
        <w:tc>
          <w:tcPr>
            <w:tcW w:w="3151" w:type="dxa"/>
            <w:noWrap w:val="0"/>
            <w:vAlign w:val="center"/>
          </w:tcPr>
          <w:p w14:paraId="1EB81964">
            <w:pP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1.初次违法；</w:t>
            </w:r>
          </w:p>
          <w:p w14:paraId="6418E0A6">
            <w:pP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2.没有造成危害后果或者危害后果轻微；</w:t>
            </w:r>
          </w:p>
          <w:p w14:paraId="0F6A84A0">
            <w:pPr>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color w:val="auto"/>
                <w:kern w:val="0"/>
                <w:sz w:val="24"/>
                <w:szCs w:val="24"/>
                <w:highlight w:val="none"/>
                <w:u w:val="none"/>
                <w:lang w:val="en-US" w:eastAsia="zh-CN" w:bidi="ar"/>
              </w:rPr>
              <w:t>3.及时改正。</w:t>
            </w:r>
          </w:p>
        </w:tc>
      </w:tr>
      <w:tr w14:paraId="19F66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14:paraId="0D757C4D">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29</w:t>
            </w:r>
          </w:p>
        </w:tc>
        <w:tc>
          <w:tcPr>
            <w:tcW w:w="2378" w:type="dxa"/>
            <w:noWrap w:val="0"/>
            <w:vAlign w:val="center"/>
          </w:tcPr>
          <w:p w14:paraId="4566DD2C">
            <w:pPr>
              <w:pStyle w:val="2"/>
              <w:ind w:left="0" w:leftChars="0" w:firstLine="0" w:firstLineChars="0"/>
              <w:rPr>
                <w:rFonts w:hint="eastAsia"/>
                <w:lang w:val="en-US" w:eastAsia="zh-CN"/>
              </w:rPr>
            </w:pPr>
            <w:r>
              <w:rPr>
                <w:rFonts w:hint="eastAsia"/>
                <w:lang w:val="en-US" w:eastAsia="zh-CN"/>
              </w:rPr>
              <w:t>明知属于无照经营而为经营者提供经营场所，或者提供运输、保管、仓储等条件</w:t>
            </w:r>
          </w:p>
          <w:p w14:paraId="7DAF637D">
            <w:pPr>
              <w:rPr>
                <w:rFonts w:hint="eastAsia"/>
                <w:lang w:val="en-US" w:eastAsia="zh-CN"/>
              </w:rPr>
            </w:pPr>
          </w:p>
        </w:tc>
        <w:tc>
          <w:tcPr>
            <w:tcW w:w="7938" w:type="dxa"/>
            <w:noWrap w:val="0"/>
            <w:vAlign w:val="center"/>
          </w:tcPr>
          <w:p w14:paraId="4A78E15F">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highlight w:val="none"/>
                <w:lang w:val="en-US" w:eastAsia="zh-CN"/>
              </w:rPr>
            </w:pPr>
            <w:r>
              <w:rPr>
                <w:rFonts w:hint="eastAsia" w:ascii="仿宋_GB2312" w:hAnsi="仿宋_GB2312" w:eastAsia="仿宋_GB2312" w:cs="仿宋_GB2312"/>
                <w:kern w:val="2"/>
                <w:sz w:val="24"/>
                <w:szCs w:val="24"/>
                <w:highlight w:val="none"/>
                <w:lang w:val="en-US" w:eastAsia="zh-CN"/>
              </w:rPr>
              <w:t>《无证无照经营查处办法》第十四条  明知属于无照经营而为经营者提供经营场所，或者提供运输、保管、仓储等条件的，由工商行政管理部门责令停止违法行为，没收违法所得，可以处5000元以下的罚款。</w:t>
            </w:r>
          </w:p>
        </w:tc>
        <w:tc>
          <w:tcPr>
            <w:tcW w:w="3151" w:type="dxa"/>
            <w:noWrap w:val="0"/>
            <w:vAlign w:val="center"/>
          </w:tcPr>
          <w:p w14:paraId="33E96D52">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highlight w:val="none"/>
                <w:lang w:val="en" w:eastAsia="zh-CN"/>
              </w:rPr>
            </w:pPr>
            <w:r>
              <w:rPr>
                <w:rFonts w:hint="eastAsia" w:ascii="仿宋_GB2312" w:hAnsi="仿宋_GB2312" w:eastAsia="仿宋_GB2312" w:cs="仿宋_GB2312"/>
                <w:kern w:val="2"/>
                <w:sz w:val="24"/>
                <w:szCs w:val="24"/>
                <w:highlight w:val="none"/>
                <w:lang w:val="en-US" w:eastAsia="zh-CN"/>
              </w:rPr>
              <w:t>1</w:t>
            </w:r>
            <w:r>
              <w:rPr>
                <w:rFonts w:hint="eastAsia" w:ascii="仿宋_GB2312" w:hAnsi="仿宋_GB2312" w:eastAsia="仿宋_GB2312" w:cs="仿宋_GB2312"/>
                <w:kern w:val="2"/>
                <w:sz w:val="24"/>
                <w:szCs w:val="24"/>
                <w:highlight w:val="none"/>
                <w:lang w:val="en" w:eastAsia="zh-CN"/>
              </w:rPr>
              <w:t>．</w:t>
            </w:r>
            <w:r>
              <w:rPr>
                <w:rFonts w:hint="eastAsia" w:ascii="仿宋_GB2312" w:hAnsi="仿宋_GB2312" w:eastAsia="仿宋_GB2312" w:cs="仿宋_GB2312"/>
                <w:kern w:val="2"/>
                <w:sz w:val="24"/>
                <w:szCs w:val="24"/>
                <w:highlight w:val="none"/>
                <w:lang w:val="en-US" w:eastAsia="zh-CN"/>
              </w:rPr>
              <w:t>在立案调查前，无照经营者已申请设立登记并通过审核；</w:t>
            </w:r>
          </w:p>
          <w:p w14:paraId="3D3DA614">
            <w:pPr>
              <w:rPr>
                <w:rFonts w:hint="eastAsia" w:ascii="仿宋_GB2312" w:hAnsi="仿宋_GB2312" w:eastAsia="仿宋_GB2312" w:cs="仿宋_GB2312"/>
                <w:kern w:val="2"/>
                <w:sz w:val="24"/>
                <w:szCs w:val="24"/>
                <w:highlight w:val="none"/>
                <w:lang w:val="en-US" w:eastAsia="zh-CN"/>
              </w:rPr>
            </w:pPr>
            <w:r>
              <w:rPr>
                <w:rFonts w:hint="eastAsia" w:ascii="仿宋_GB2312" w:hAnsi="仿宋_GB2312" w:eastAsia="仿宋_GB2312" w:cs="仿宋_GB2312"/>
                <w:kern w:val="2"/>
                <w:sz w:val="24"/>
                <w:szCs w:val="24"/>
                <w:highlight w:val="none"/>
                <w:lang w:val="en-US" w:eastAsia="zh-CN"/>
              </w:rPr>
              <w:t>2</w:t>
            </w:r>
            <w:r>
              <w:rPr>
                <w:rFonts w:hint="eastAsia" w:ascii="仿宋_GB2312" w:hAnsi="仿宋_GB2312" w:eastAsia="仿宋_GB2312" w:cs="仿宋_GB2312"/>
                <w:kern w:val="2"/>
                <w:sz w:val="24"/>
                <w:szCs w:val="24"/>
                <w:highlight w:val="none"/>
                <w:lang w:val="en" w:eastAsia="zh-CN"/>
              </w:rPr>
              <w:t>．</w:t>
            </w:r>
            <w:r>
              <w:rPr>
                <w:rFonts w:hint="eastAsia" w:ascii="仿宋_GB2312" w:hAnsi="仿宋_GB2312" w:eastAsia="仿宋_GB2312" w:cs="仿宋_GB2312"/>
                <w:sz w:val="24"/>
                <w:szCs w:val="24"/>
                <w:highlight w:val="none"/>
              </w:rPr>
              <w:t>初次违法，及时改正，且没有造成危害后果</w:t>
            </w:r>
            <w:r>
              <w:rPr>
                <w:rFonts w:hint="eastAsia" w:ascii="仿宋_GB2312" w:hAnsi="仿宋_GB2312" w:eastAsia="仿宋_GB2312" w:cs="仿宋_GB2312"/>
                <w:sz w:val="24"/>
                <w:szCs w:val="24"/>
                <w:highlight w:val="none"/>
                <w:lang w:eastAsia="zh-CN"/>
              </w:rPr>
              <w:t>或者危害后果轻微</w:t>
            </w:r>
            <w:r>
              <w:rPr>
                <w:rFonts w:hint="eastAsia" w:ascii="仿宋_GB2312" w:hAnsi="仿宋_GB2312" w:eastAsia="仿宋_GB2312" w:cs="仿宋_GB2312"/>
                <w:sz w:val="24"/>
                <w:szCs w:val="24"/>
                <w:highlight w:val="none"/>
              </w:rPr>
              <w:t>。</w:t>
            </w:r>
          </w:p>
        </w:tc>
      </w:tr>
      <w:tr w14:paraId="75F0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14:paraId="1E26688D">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30</w:t>
            </w:r>
          </w:p>
        </w:tc>
        <w:tc>
          <w:tcPr>
            <w:tcW w:w="2378" w:type="dxa"/>
            <w:noWrap w:val="0"/>
            <w:vAlign w:val="center"/>
          </w:tcPr>
          <w:p w14:paraId="5D9B977D">
            <w:pPr>
              <w:pStyle w:val="2"/>
              <w:ind w:left="0" w:leftChars="0" w:firstLine="0" w:firstLineChars="0"/>
              <w:rPr>
                <w:rFonts w:hint="eastAsia"/>
                <w:lang w:val="en-US" w:eastAsia="zh-CN"/>
              </w:rPr>
            </w:pPr>
            <w:r>
              <w:rPr>
                <w:rFonts w:hint="eastAsia"/>
                <w:lang w:val="en-US" w:eastAsia="zh-CN"/>
              </w:rPr>
              <w:t>经营主体未按时报送年度报告</w:t>
            </w:r>
          </w:p>
          <w:p w14:paraId="7B92982E">
            <w:pPr>
              <w:rPr>
                <w:rFonts w:hint="eastAsia"/>
                <w:lang w:val="en-US" w:eastAsia="zh-CN"/>
              </w:rPr>
            </w:pPr>
          </w:p>
        </w:tc>
        <w:tc>
          <w:tcPr>
            <w:tcW w:w="7938" w:type="dxa"/>
            <w:noWrap w:val="0"/>
            <w:vAlign w:val="center"/>
          </w:tcPr>
          <w:p w14:paraId="5157C0BA">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highlight w:val="none"/>
                <w:lang w:val="en-US" w:eastAsia="zh-CN"/>
              </w:rPr>
            </w:pPr>
            <w:r>
              <w:rPr>
                <w:rFonts w:hint="eastAsia" w:ascii="仿宋_GB2312" w:hAnsi="仿宋_GB2312" w:eastAsia="仿宋_GB2312" w:cs="仿宋_GB2312"/>
                <w:kern w:val="2"/>
                <w:sz w:val="24"/>
                <w:szCs w:val="24"/>
                <w:highlight w:val="none"/>
                <w:lang w:val="en-US" w:eastAsia="zh-CN"/>
              </w:rPr>
              <w:t>《中华人民共和国市场主体登记管理条例实施细则》</w:t>
            </w:r>
            <w:r>
              <w:rPr>
                <w:rFonts w:hint="eastAsia" w:ascii="仿宋_GB2312" w:hAnsi="仿宋_GB2312" w:eastAsia="仿宋_GB2312" w:cs="仿宋_GB2312"/>
                <w:kern w:val="2"/>
                <w:sz w:val="24"/>
                <w:szCs w:val="24"/>
                <w:lang w:val="en-US" w:eastAsia="zh-CN"/>
              </w:rPr>
              <w:t>第六十三条第一款</w:t>
            </w:r>
            <w:r>
              <w:rPr>
                <w:rFonts w:hint="eastAsia" w:ascii="仿宋_GB2312" w:hAnsi="仿宋_GB2312" w:eastAsia="仿宋_GB2312" w:cs="仿宋_GB2312"/>
                <w:kern w:val="2"/>
                <w:sz w:val="24"/>
                <w:szCs w:val="24"/>
                <w:highlight w:val="none"/>
                <w:lang w:val="en-US" w:eastAsia="zh-CN"/>
              </w:rPr>
              <w:t xml:space="preserve"> 市场主体应当于每年1月1日至6月30日，通过国家企业信用信息公示系统报送上一年度年度报告，并向社会公示。</w:t>
            </w:r>
          </w:p>
          <w:p w14:paraId="5204B1F3">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2"/>
                <w:sz w:val="24"/>
                <w:szCs w:val="24"/>
                <w:highlight w:val="none"/>
                <w:lang w:val="en-US" w:eastAsia="zh-CN"/>
              </w:rPr>
              <w:t>第七十条  市场主体未按照法律、行政法规规定的期限公示或者报送年度报告的，由登记机关列入经营异常名录，可以处1万元以下的罚款。</w:t>
            </w:r>
          </w:p>
        </w:tc>
        <w:tc>
          <w:tcPr>
            <w:tcW w:w="3151" w:type="dxa"/>
            <w:noWrap w:val="0"/>
            <w:vAlign w:val="center"/>
          </w:tcPr>
          <w:p w14:paraId="4E54C13E">
            <w:pPr>
              <w:rPr>
                <w:rFonts w:hint="eastAsia" w:ascii="仿宋_GB2312" w:hAnsi="仿宋_GB2312" w:eastAsia="仿宋_GB2312" w:cs="仿宋_GB2312"/>
                <w:kern w:val="2"/>
                <w:sz w:val="24"/>
                <w:szCs w:val="24"/>
                <w:highlight w:val="none"/>
                <w:lang w:val="en-US" w:eastAsia="zh-CN"/>
              </w:rPr>
            </w:pPr>
            <w:r>
              <w:rPr>
                <w:rFonts w:hint="eastAsia" w:ascii="仿宋_GB2312" w:hAnsi="仿宋_GB2312" w:eastAsia="仿宋_GB2312" w:cs="仿宋_GB2312"/>
                <w:kern w:val="2"/>
                <w:sz w:val="24"/>
                <w:szCs w:val="24"/>
                <w:highlight w:val="none"/>
                <w:lang w:val="en-US" w:eastAsia="zh-CN"/>
              </w:rPr>
              <w:t>1．初次违法；</w:t>
            </w:r>
          </w:p>
          <w:p w14:paraId="0545828D">
            <w:pPr>
              <w:rPr>
                <w:rFonts w:hint="eastAsia" w:ascii="仿宋_GB2312" w:hAnsi="仿宋_GB2312" w:eastAsia="仿宋_GB2312" w:cs="仿宋_GB2312"/>
                <w:kern w:val="2"/>
                <w:sz w:val="24"/>
                <w:szCs w:val="24"/>
                <w:highlight w:val="none"/>
                <w:lang w:val="en-US" w:eastAsia="zh-CN"/>
              </w:rPr>
            </w:pPr>
            <w:r>
              <w:rPr>
                <w:rFonts w:hint="eastAsia" w:ascii="仿宋_GB2312" w:hAnsi="仿宋_GB2312" w:eastAsia="仿宋_GB2312" w:cs="仿宋_GB2312"/>
                <w:kern w:val="2"/>
                <w:sz w:val="24"/>
                <w:szCs w:val="24"/>
                <w:highlight w:val="none"/>
                <w:lang w:val="en-US" w:eastAsia="zh-CN"/>
              </w:rPr>
              <w:t>2．主动公示或者报送年度报告，或者在收到市场监督管理部门《提醒敦促函》之日 起10日内公示或者报送年度报告；</w:t>
            </w:r>
          </w:p>
          <w:p w14:paraId="4E082344">
            <w:pPr>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2"/>
                <w:sz w:val="24"/>
                <w:szCs w:val="24"/>
                <w:highlight w:val="none"/>
                <w:lang w:val="en-US" w:eastAsia="zh-CN"/>
              </w:rPr>
              <w:t>3.</w:t>
            </w:r>
            <w:r>
              <w:rPr>
                <w:rFonts w:hint="eastAsia" w:ascii="仿宋_GB2312" w:hAnsi="仿宋_GB2312" w:eastAsia="仿宋_GB2312" w:cs="仿宋_GB2312"/>
                <w:sz w:val="24"/>
                <w:szCs w:val="24"/>
                <w:highlight w:val="none"/>
              </w:rPr>
              <w:t>没有造成危害后果</w:t>
            </w:r>
            <w:r>
              <w:rPr>
                <w:rFonts w:hint="eastAsia" w:ascii="仿宋_GB2312" w:hAnsi="仿宋_GB2312" w:eastAsia="仿宋_GB2312" w:cs="仿宋_GB2312"/>
                <w:sz w:val="24"/>
                <w:szCs w:val="24"/>
                <w:highlight w:val="none"/>
                <w:lang w:eastAsia="zh-CN"/>
              </w:rPr>
              <w:t>或者危害后果轻微</w:t>
            </w:r>
            <w:r>
              <w:rPr>
                <w:rFonts w:hint="eastAsia" w:ascii="仿宋_GB2312" w:hAnsi="仿宋_GB2312" w:eastAsia="仿宋_GB2312" w:cs="仿宋_GB2312"/>
                <w:sz w:val="24"/>
                <w:szCs w:val="24"/>
                <w:highlight w:val="none"/>
              </w:rPr>
              <w:t>。</w:t>
            </w:r>
          </w:p>
        </w:tc>
      </w:tr>
      <w:tr w14:paraId="68F13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14:paraId="16D5016F">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31</w:t>
            </w:r>
          </w:p>
        </w:tc>
        <w:tc>
          <w:tcPr>
            <w:tcW w:w="2378" w:type="dxa"/>
            <w:noWrap w:val="0"/>
            <w:vAlign w:val="center"/>
          </w:tcPr>
          <w:p w14:paraId="0B4E965D">
            <w:pPr>
              <w:pStyle w:val="2"/>
              <w:ind w:left="0" w:leftChars="0" w:firstLine="0" w:firstLineChars="0"/>
              <w:rPr>
                <w:rFonts w:hint="eastAsia"/>
                <w:lang w:val="en-US" w:eastAsia="zh-CN"/>
              </w:rPr>
            </w:pPr>
            <w:r>
              <w:rPr>
                <w:rFonts w:hint="eastAsia"/>
                <w:lang w:val="en-US" w:eastAsia="zh-CN"/>
              </w:rPr>
              <w:t>外国企业常驻代表机构未按照《外国企业常驻代表机构登记管理条例》规定提交年度报告</w:t>
            </w:r>
          </w:p>
          <w:p w14:paraId="70875FAE">
            <w:pPr>
              <w:rPr>
                <w:rFonts w:hint="eastAsia"/>
                <w:lang w:val="en-US" w:eastAsia="zh-CN"/>
              </w:rPr>
            </w:pPr>
          </w:p>
        </w:tc>
        <w:tc>
          <w:tcPr>
            <w:tcW w:w="7938" w:type="dxa"/>
            <w:noWrap w:val="0"/>
            <w:vAlign w:val="center"/>
          </w:tcPr>
          <w:p w14:paraId="73C0E952">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kern w:val="2"/>
                <w:sz w:val="24"/>
                <w:szCs w:val="24"/>
                <w:highlight w:val="none"/>
                <w:lang w:val="en-US" w:eastAsia="zh-CN"/>
              </w:rPr>
            </w:pPr>
            <w:r>
              <w:rPr>
                <w:rFonts w:hint="eastAsia" w:ascii="仿宋_GB2312" w:hAnsi="仿宋_GB2312" w:eastAsia="仿宋_GB2312" w:cs="仿宋_GB2312"/>
                <w:kern w:val="2"/>
                <w:sz w:val="24"/>
                <w:szCs w:val="24"/>
                <w:highlight w:val="none"/>
                <w:lang w:val="en-US" w:eastAsia="zh-CN"/>
              </w:rPr>
              <w:t>《外国企业常驻代表机构登记管理条例》第六条  代表机构应当于每年3月1日至6月30日向登记机关提交年度报告。年度报告的内容包括外国企业的合法存续情况、代表机构的业务活动开展情况及其经会计师事务所审计的费用收支情况等相关情况。</w:t>
            </w:r>
          </w:p>
          <w:p w14:paraId="17992B0B">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highlight w:val="none"/>
                <w:lang w:val="en-US" w:eastAsia="zh-CN"/>
              </w:rPr>
            </w:pPr>
            <w:r>
              <w:rPr>
                <w:rFonts w:hint="eastAsia" w:ascii="仿宋_GB2312" w:hAnsi="仿宋_GB2312" w:eastAsia="仿宋_GB2312" w:cs="仿宋_GB2312"/>
                <w:kern w:val="2"/>
                <w:sz w:val="24"/>
                <w:szCs w:val="24"/>
                <w:highlight w:val="none"/>
                <w:lang w:val="en-US" w:eastAsia="zh-CN"/>
              </w:rPr>
              <w:t>《外国企业常驻代表机构登记管理条例》第三十八条第一项  有下列情形之一的，由登记机关责令限期改正，处以1万元以上3万元以下的罚款；逾期未改正的，吊销登记证：（一）未依照本条例规定提交年度报告的。</w:t>
            </w:r>
          </w:p>
        </w:tc>
        <w:tc>
          <w:tcPr>
            <w:tcW w:w="3151" w:type="dxa"/>
            <w:noWrap w:val="0"/>
            <w:vAlign w:val="center"/>
          </w:tcPr>
          <w:p w14:paraId="4159B657">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kern w:val="2"/>
                <w:sz w:val="24"/>
                <w:szCs w:val="24"/>
                <w:highlight w:val="none"/>
                <w:lang w:val="en-US" w:eastAsia="zh-CN"/>
              </w:rPr>
              <w:t>1</w:t>
            </w:r>
            <w:r>
              <w:rPr>
                <w:rFonts w:hint="eastAsia" w:ascii="仿宋_GB2312" w:hAnsi="仿宋_GB2312" w:eastAsia="仿宋_GB2312" w:cs="仿宋_GB2312"/>
                <w:kern w:val="2"/>
                <w:sz w:val="24"/>
                <w:szCs w:val="24"/>
                <w:highlight w:val="none"/>
                <w:lang w:val="en" w:eastAsia="zh-CN"/>
              </w:rPr>
              <w:t>．</w:t>
            </w:r>
            <w:r>
              <w:rPr>
                <w:rFonts w:hint="eastAsia" w:ascii="仿宋_GB2312" w:hAnsi="仿宋_GB2312" w:eastAsia="仿宋_GB2312" w:cs="仿宋_GB2312"/>
                <w:sz w:val="24"/>
                <w:szCs w:val="24"/>
                <w:highlight w:val="none"/>
              </w:rPr>
              <w:t>初次违法</w:t>
            </w:r>
            <w:r>
              <w:rPr>
                <w:rFonts w:hint="eastAsia" w:ascii="仿宋_GB2312" w:hAnsi="仿宋_GB2312" w:eastAsia="仿宋_GB2312" w:cs="仿宋_GB2312"/>
                <w:sz w:val="24"/>
                <w:szCs w:val="24"/>
                <w:highlight w:val="none"/>
                <w:lang w:eastAsia="zh-CN"/>
              </w:rPr>
              <w:t>；</w:t>
            </w:r>
          </w:p>
          <w:p w14:paraId="63737BAD">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highlight w:val="none"/>
                <w:lang w:val="en" w:eastAsia="zh-CN"/>
              </w:rPr>
            </w:pPr>
            <w:r>
              <w:rPr>
                <w:rFonts w:hint="eastAsia" w:ascii="仿宋_GB2312" w:hAnsi="仿宋_GB2312" w:eastAsia="仿宋_GB2312" w:cs="仿宋_GB2312"/>
                <w:sz w:val="24"/>
                <w:szCs w:val="24"/>
                <w:highlight w:val="none"/>
                <w:lang w:val="en-US" w:eastAsia="zh-CN"/>
              </w:rPr>
              <w:t xml:space="preserve">2. </w:t>
            </w:r>
            <w:r>
              <w:rPr>
                <w:rFonts w:hint="eastAsia" w:ascii="仿宋_GB2312" w:hAnsi="仿宋_GB2312" w:eastAsia="仿宋_GB2312" w:cs="仿宋_GB2312"/>
                <w:kern w:val="2"/>
                <w:sz w:val="24"/>
                <w:szCs w:val="24"/>
                <w:highlight w:val="none"/>
                <w:lang w:val="en-US" w:eastAsia="zh-CN"/>
              </w:rPr>
              <w:t>在下年度年报开始前完成补报；</w:t>
            </w:r>
          </w:p>
          <w:p w14:paraId="66B2B751">
            <w:pPr>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2"/>
                <w:sz w:val="24"/>
                <w:szCs w:val="24"/>
                <w:highlight w:val="none"/>
                <w:lang w:val="en-US" w:eastAsia="zh-CN"/>
              </w:rPr>
              <w:t>3</w:t>
            </w:r>
            <w:r>
              <w:rPr>
                <w:rFonts w:hint="eastAsia" w:ascii="仿宋_GB2312" w:hAnsi="仿宋_GB2312" w:eastAsia="仿宋_GB2312" w:cs="仿宋_GB2312"/>
                <w:kern w:val="2"/>
                <w:sz w:val="24"/>
                <w:szCs w:val="24"/>
                <w:highlight w:val="none"/>
                <w:lang w:val="en" w:eastAsia="zh-CN"/>
              </w:rPr>
              <w:t>．</w:t>
            </w:r>
            <w:r>
              <w:rPr>
                <w:rFonts w:hint="eastAsia" w:ascii="仿宋_GB2312" w:hAnsi="仿宋_GB2312" w:eastAsia="仿宋_GB2312" w:cs="仿宋_GB2312"/>
                <w:sz w:val="24"/>
                <w:szCs w:val="24"/>
                <w:highlight w:val="none"/>
              </w:rPr>
              <w:t>没有造成危害后果</w:t>
            </w:r>
            <w:r>
              <w:rPr>
                <w:rFonts w:hint="eastAsia" w:ascii="仿宋_GB2312" w:hAnsi="仿宋_GB2312" w:eastAsia="仿宋_GB2312" w:cs="仿宋_GB2312"/>
                <w:sz w:val="24"/>
                <w:szCs w:val="24"/>
                <w:highlight w:val="none"/>
                <w:lang w:eastAsia="zh-CN"/>
              </w:rPr>
              <w:t>或者危害后果轻微</w:t>
            </w:r>
            <w:r>
              <w:rPr>
                <w:rFonts w:hint="eastAsia" w:ascii="仿宋_GB2312" w:hAnsi="仿宋_GB2312" w:eastAsia="仿宋_GB2312" w:cs="仿宋_GB2312"/>
                <w:sz w:val="24"/>
                <w:szCs w:val="24"/>
                <w:highlight w:val="none"/>
              </w:rPr>
              <w:t>。</w:t>
            </w:r>
          </w:p>
        </w:tc>
      </w:tr>
      <w:tr w14:paraId="7C0AA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14:paraId="1D8296DA">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32</w:t>
            </w:r>
          </w:p>
        </w:tc>
        <w:tc>
          <w:tcPr>
            <w:tcW w:w="2378" w:type="dxa"/>
            <w:noWrap w:val="0"/>
            <w:vAlign w:val="center"/>
          </w:tcPr>
          <w:p w14:paraId="08CE0888">
            <w:pPr>
              <w:pStyle w:val="2"/>
              <w:ind w:left="0" w:leftChars="0" w:firstLine="0" w:firstLineChars="0"/>
              <w:rPr>
                <w:rFonts w:hint="eastAsia"/>
                <w:lang w:val="en-US" w:eastAsia="zh-CN"/>
              </w:rPr>
            </w:pPr>
            <w:r>
              <w:rPr>
                <w:rFonts w:hint="eastAsia"/>
                <w:lang w:val="en-US" w:eastAsia="zh-CN"/>
              </w:rPr>
              <w:t>未按照规定申请检定属于强制检定范围的计量器具</w:t>
            </w:r>
          </w:p>
          <w:p w14:paraId="6626EB1F">
            <w:pPr>
              <w:rPr>
                <w:rFonts w:hint="eastAsia"/>
                <w:lang w:val="en-US" w:eastAsia="zh-CN"/>
              </w:rPr>
            </w:pPr>
          </w:p>
        </w:tc>
        <w:tc>
          <w:tcPr>
            <w:tcW w:w="7938" w:type="dxa"/>
            <w:noWrap w:val="0"/>
            <w:vAlign w:val="center"/>
          </w:tcPr>
          <w:p w14:paraId="72341052">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290" w:lineRule="exact"/>
              <w:jc w:val="both"/>
              <w:textAlignment w:val="auto"/>
              <w:rPr>
                <w:rFonts w:hint="eastAsia" w:ascii="仿宋_GB2312" w:hAnsi="仿宋_GB2312" w:eastAsia="仿宋_GB2312" w:cs="仿宋_GB2312"/>
                <w:spacing w:val="-4"/>
                <w:kern w:val="2"/>
                <w:sz w:val="24"/>
                <w:szCs w:val="24"/>
                <w:highlight w:val="none"/>
                <w:lang w:val="en-US" w:eastAsia="zh-CN"/>
              </w:rPr>
            </w:pPr>
            <w:r>
              <w:rPr>
                <w:rFonts w:hint="eastAsia" w:ascii="仿宋_GB2312" w:hAnsi="仿宋_GB2312" w:eastAsia="仿宋_GB2312" w:cs="仿宋_GB2312"/>
                <w:kern w:val="2"/>
                <w:sz w:val="24"/>
                <w:szCs w:val="24"/>
                <w:highlight w:val="none"/>
                <w:lang w:val="en-US" w:eastAsia="zh-CN"/>
              </w:rPr>
              <w:t>《中华人民共和国计量法》第九条第一款  县级以上人民政府计量行政部门对社会公用计量标准器具，部门和企业、事业单位使用的最高计量标准器具，以及用于贸易结算、安全</w:t>
            </w:r>
            <w:r>
              <w:rPr>
                <w:rFonts w:hint="eastAsia" w:ascii="仿宋_GB2312" w:hAnsi="仿宋_GB2312" w:eastAsia="仿宋_GB2312" w:cs="仿宋_GB2312"/>
                <w:spacing w:val="-4"/>
                <w:kern w:val="2"/>
                <w:sz w:val="24"/>
                <w:szCs w:val="24"/>
                <w:highlight w:val="none"/>
                <w:lang w:val="en-US" w:eastAsia="zh-CN"/>
              </w:rPr>
              <w:t>防护、医疗卫生、环境监测方面的列入强制检定目录的工作计量器具，实行强制检定。未按照规定申请检定或者检定不合格的，不得使用。实行强制检定的工作计量器具的目录和管理办法，由国务院制定。</w:t>
            </w:r>
          </w:p>
          <w:p w14:paraId="4ADB77BB">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spacing w:val="-4"/>
                <w:kern w:val="2"/>
                <w:sz w:val="24"/>
                <w:szCs w:val="24"/>
                <w:highlight w:val="none"/>
                <w:lang w:val="en-US" w:eastAsia="zh-CN"/>
              </w:rPr>
            </w:pPr>
            <w:r>
              <w:rPr>
                <w:rFonts w:hint="eastAsia" w:ascii="仿宋_GB2312" w:hAnsi="仿宋_GB2312" w:eastAsia="仿宋_GB2312" w:cs="仿宋_GB2312"/>
                <w:kern w:val="2"/>
                <w:sz w:val="24"/>
                <w:szCs w:val="24"/>
                <w:highlight w:val="none"/>
                <w:lang w:val="en-US" w:eastAsia="zh-CN"/>
              </w:rPr>
              <w:t>《中华人民共和国计量法实施细则》第四十三条  属于强制检定范围的计量器具，未按照规定申请检定和属于非强制检定范围的计量器具未自行定期检定或者送其他计量检定机构定期检定的，以及经检定不合格继续使用的，责令其停止使用，可并处1000元以下罚款。</w:t>
            </w:r>
          </w:p>
        </w:tc>
        <w:tc>
          <w:tcPr>
            <w:tcW w:w="3151" w:type="dxa"/>
            <w:noWrap w:val="0"/>
            <w:vAlign w:val="center"/>
          </w:tcPr>
          <w:p w14:paraId="52F9843C">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highlight w:val="none"/>
                <w:lang w:val="en" w:eastAsia="zh-CN"/>
              </w:rPr>
            </w:pPr>
            <w:r>
              <w:rPr>
                <w:rFonts w:hint="eastAsia" w:ascii="仿宋_GB2312" w:hAnsi="仿宋_GB2312" w:eastAsia="仿宋_GB2312" w:cs="仿宋_GB2312"/>
                <w:kern w:val="2"/>
                <w:sz w:val="24"/>
                <w:szCs w:val="24"/>
                <w:highlight w:val="none"/>
                <w:lang w:val="en-US" w:eastAsia="zh-CN"/>
              </w:rPr>
              <w:t>1</w:t>
            </w:r>
            <w:r>
              <w:rPr>
                <w:rFonts w:hint="eastAsia" w:ascii="仿宋_GB2312" w:hAnsi="仿宋_GB2312" w:eastAsia="仿宋_GB2312" w:cs="仿宋_GB2312"/>
                <w:kern w:val="2"/>
                <w:sz w:val="24"/>
                <w:szCs w:val="24"/>
                <w:highlight w:val="none"/>
                <w:lang w:val="en" w:eastAsia="zh-CN"/>
              </w:rPr>
              <w:t>．</w:t>
            </w:r>
            <w:r>
              <w:rPr>
                <w:rFonts w:hint="eastAsia" w:ascii="仿宋_GB2312" w:hAnsi="仿宋_GB2312" w:eastAsia="仿宋_GB2312" w:cs="仿宋_GB2312"/>
                <w:kern w:val="2"/>
                <w:sz w:val="24"/>
                <w:szCs w:val="24"/>
                <w:highlight w:val="none"/>
                <w:lang w:val="en-US" w:eastAsia="zh-CN"/>
              </w:rPr>
              <w:t>在集贸市场、商超、餐饮行业，使用属于用于贸易结算强制检定范围的计量器具；</w:t>
            </w:r>
          </w:p>
          <w:p w14:paraId="2DB93595">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highlight w:val="none"/>
                <w:lang w:val="en" w:eastAsia="zh-CN"/>
              </w:rPr>
            </w:pPr>
            <w:r>
              <w:rPr>
                <w:rFonts w:hint="eastAsia" w:ascii="仿宋_GB2312" w:hAnsi="仿宋_GB2312" w:eastAsia="仿宋_GB2312" w:cs="仿宋_GB2312"/>
                <w:kern w:val="2"/>
                <w:sz w:val="24"/>
                <w:szCs w:val="24"/>
                <w:highlight w:val="none"/>
                <w:lang w:val="en-US" w:eastAsia="zh-CN"/>
              </w:rPr>
              <w:t>2</w:t>
            </w:r>
            <w:r>
              <w:rPr>
                <w:rFonts w:hint="eastAsia" w:ascii="仿宋_GB2312" w:hAnsi="仿宋_GB2312" w:eastAsia="仿宋_GB2312" w:cs="仿宋_GB2312"/>
                <w:kern w:val="2"/>
                <w:sz w:val="24"/>
                <w:szCs w:val="24"/>
                <w:highlight w:val="none"/>
                <w:lang w:val="en" w:eastAsia="zh-CN"/>
              </w:rPr>
              <w:t>．</w:t>
            </w:r>
            <w:r>
              <w:rPr>
                <w:rFonts w:hint="eastAsia" w:ascii="仿宋_GB2312" w:hAnsi="仿宋_GB2312" w:eastAsia="仿宋_GB2312" w:cs="仿宋_GB2312"/>
                <w:kern w:val="2"/>
                <w:sz w:val="24"/>
                <w:szCs w:val="24"/>
                <w:highlight w:val="none"/>
                <w:lang w:val="en-US" w:eastAsia="zh-CN"/>
              </w:rPr>
              <w:t>未造成社会影响；</w:t>
            </w:r>
          </w:p>
          <w:p w14:paraId="3EB70424">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highlight w:val="none"/>
                <w:lang w:val="en" w:eastAsia="zh-CN"/>
              </w:rPr>
            </w:pPr>
            <w:r>
              <w:rPr>
                <w:rFonts w:hint="eastAsia" w:ascii="仿宋_GB2312" w:hAnsi="仿宋_GB2312" w:eastAsia="仿宋_GB2312" w:cs="仿宋_GB2312"/>
                <w:kern w:val="2"/>
                <w:sz w:val="24"/>
                <w:szCs w:val="24"/>
                <w:highlight w:val="none"/>
                <w:lang w:val="en-US" w:eastAsia="zh-CN"/>
              </w:rPr>
              <w:t>3</w:t>
            </w:r>
            <w:r>
              <w:rPr>
                <w:rFonts w:hint="eastAsia" w:ascii="仿宋_GB2312" w:hAnsi="仿宋_GB2312" w:eastAsia="仿宋_GB2312" w:cs="仿宋_GB2312"/>
                <w:kern w:val="2"/>
                <w:sz w:val="24"/>
                <w:szCs w:val="24"/>
                <w:highlight w:val="none"/>
                <w:lang w:val="en" w:eastAsia="zh-CN"/>
              </w:rPr>
              <w:t>．</w:t>
            </w:r>
            <w:r>
              <w:rPr>
                <w:rFonts w:hint="eastAsia" w:ascii="仿宋_GB2312" w:hAnsi="仿宋_GB2312" w:eastAsia="仿宋_GB2312" w:cs="仿宋_GB2312"/>
                <w:kern w:val="2"/>
                <w:sz w:val="24"/>
                <w:szCs w:val="24"/>
                <w:highlight w:val="none"/>
                <w:lang w:val="en-US" w:eastAsia="zh-CN"/>
              </w:rPr>
              <w:t>初次违法；</w:t>
            </w:r>
          </w:p>
          <w:p w14:paraId="1F062DD8">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highlight w:val="none"/>
                <w:lang w:val="en" w:eastAsia="zh-CN"/>
              </w:rPr>
            </w:pPr>
            <w:r>
              <w:rPr>
                <w:rFonts w:hint="eastAsia" w:ascii="仿宋_GB2312" w:hAnsi="仿宋_GB2312" w:eastAsia="仿宋_GB2312" w:cs="仿宋_GB2312"/>
                <w:kern w:val="2"/>
                <w:sz w:val="24"/>
                <w:szCs w:val="24"/>
                <w:highlight w:val="none"/>
                <w:lang w:val="en-US" w:eastAsia="zh-CN"/>
              </w:rPr>
              <w:t>4</w:t>
            </w:r>
            <w:r>
              <w:rPr>
                <w:rFonts w:hint="eastAsia" w:ascii="仿宋_GB2312" w:hAnsi="仿宋_GB2312" w:eastAsia="仿宋_GB2312" w:cs="仿宋_GB2312"/>
                <w:kern w:val="2"/>
                <w:sz w:val="24"/>
                <w:szCs w:val="24"/>
                <w:highlight w:val="none"/>
                <w:lang w:val="en" w:eastAsia="zh-CN"/>
              </w:rPr>
              <w:t>．</w:t>
            </w:r>
            <w:r>
              <w:rPr>
                <w:rFonts w:hint="eastAsia" w:ascii="仿宋_GB2312" w:hAnsi="仿宋_GB2312" w:eastAsia="仿宋_GB2312" w:cs="仿宋_GB2312"/>
                <w:sz w:val="24"/>
                <w:szCs w:val="24"/>
                <w:highlight w:val="none"/>
              </w:rPr>
              <w:t>没有造成危害后果</w:t>
            </w:r>
            <w:r>
              <w:rPr>
                <w:rFonts w:hint="eastAsia" w:ascii="仿宋_GB2312" w:hAnsi="仿宋_GB2312" w:eastAsia="仿宋_GB2312" w:cs="仿宋_GB2312"/>
                <w:sz w:val="24"/>
                <w:szCs w:val="24"/>
                <w:highlight w:val="none"/>
                <w:lang w:eastAsia="zh-CN"/>
              </w:rPr>
              <w:t>或者危害后果轻微</w:t>
            </w:r>
            <w:r>
              <w:rPr>
                <w:rFonts w:hint="eastAsia" w:ascii="仿宋_GB2312" w:hAnsi="仿宋_GB2312" w:eastAsia="仿宋_GB2312" w:cs="仿宋_GB2312"/>
                <w:kern w:val="2"/>
                <w:sz w:val="24"/>
                <w:szCs w:val="24"/>
                <w:highlight w:val="none"/>
                <w:lang w:val="en-US" w:eastAsia="zh-CN"/>
              </w:rPr>
              <w:t>；</w:t>
            </w:r>
          </w:p>
          <w:p w14:paraId="5DAD7914">
            <w:pPr>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2"/>
                <w:sz w:val="24"/>
                <w:szCs w:val="24"/>
                <w:highlight w:val="none"/>
                <w:lang w:val="en-US" w:eastAsia="zh-CN"/>
              </w:rPr>
              <w:t>5</w:t>
            </w:r>
            <w:r>
              <w:rPr>
                <w:rFonts w:hint="eastAsia" w:ascii="仿宋_GB2312" w:hAnsi="仿宋_GB2312" w:eastAsia="仿宋_GB2312" w:cs="仿宋_GB2312"/>
                <w:kern w:val="2"/>
                <w:sz w:val="24"/>
                <w:szCs w:val="24"/>
                <w:highlight w:val="none"/>
                <w:lang w:val="en" w:eastAsia="zh-CN"/>
              </w:rPr>
              <w:t>．</w:t>
            </w:r>
            <w:r>
              <w:rPr>
                <w:rFonts w:hint="eastAsia" w:ascii="仿宋_GB2312" w:hAnsi="仿宋_GB2312" w:eastAsia="仿宋_GB2312" w:cs="仿宋_GB2312"/>
                <w:kern w:val="2"/>
                <w:sz w:val="24"/>
                <w:szCs w:val="24"/>
                <w:highlight w:val="none"/>
                <w:lang w:val="en-US" w:eastAsia="zh-CN"/>
              </w:rPr>
              <w:t>及时改正且检定合格。</w:t>
            </w:r>
          </w:p>
        </w:tc>
      </w:tr>
      <w:tr w14:paraId="47E25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14:paraId="2BBD6D73">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33</w:t>
            </w:r>
          </w:p>
        </w:tc>
        <w:tc>
          <w:tcPr>
            <w:tcW w:w="2378" w:type="dxa"/>
            <w:noWrap w:val="0"/>
            <w:vAlign w:val="center"/>
          </w:tcPr>
          <w:p w14:paraId="0B2EDC9D">
            <w:pPr>
              <w:pStyle w:val="2"/>
              <w:ind w:left="0" w:leftChars="0" w:firstLine="0" w:firstLineChars="0"/>
              <w:rPr>
                <w:rFonts w:hint="eastAsia"/>
                <w:lang w:val="en-US" w:eastAsia="zh-CN"/>
              </w:rPr>
            </w:pPr>
            <w:r>
              <w:rPr>
                <w:rFonts w:hint="eastAsia"/>
                <w:lang w:val="en-US" w:eastAsia="zh-CN"/>
              </w:rPr>
              <w:t>食品生产许可证有效期内，食品生产者名称、现有设备布局和工艺流程、主要生产设备设施等事项发生变化，需要变更食品生产许可证载明的许可事项，未按规定申请变更</w:t>
            </w:r>
          </w:p>
          <w:p w14:paraId="60622DA7">
            <w:pPr>
              <w:rPr>
                <w:rFonts w:hint="eastAsia"/>
                <w:lang w:val="en-US" w:eastAsia="zh-CN"/>
              </w:rPr>
            </w:pPr>
          </w:p>
        </w:tc>
        <w:tc>
          <w:tcPr>
            <w:tcW w:w="7938" w:type="dxa"/>
            <w:noWrap w:val="0"/>
            <w:vAlign w:val="center"/>
          </w:tcPr>
          <w:p w14:paraId="161B63EB">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highlight w:val="none"/>
                <w:lang w:val="en-US" w:eastAsia="zh-CN"/>
              </w:rPr>
            </w:pPr>
            <w:r>
              <w:rPr>
                <w:rFonts w:hint="eastAsia" w:ascii="仿宋_GB2312" w:hAnsi="仿宋_GB2312" w:eastAsia="仿宋_GB2312" w:cs="仿宋_GB2312"/>
                <w:kern w:val="2"/>
                <w:sz w:val="24"/>
                <w:szCs w:val="24"/>
                <w:highlight w:val="none"/>
                <w:lang w:val="en-US" w:eastAsia="zh-CN"/>
              </w:rPr>
              <w:t>《食品生产许可管理办法》第三十二条第一款  食品生产许可证有效期内，食品生产者名称、现有设备布局和工艺流程、主要生产设备设施、食品类别等事项发生变化，需要变更食品生产许可证载明的许可事项的，食品生产者应当在变化后10个工作日内向原发证的市场监督管理部门提出变更申请。</w:t>
            </w:r>
          </w:p>
          <w:p w14:paraId="7C4BC94C">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highlight w:val="none"/>
                <w:lang w:val="en-US" w:eastAsia="zh-CN"/>
              </w:rPr>
            </w:pPr>
            <w:r>
              <w:rPr>
                <w:rFonts w:hint="eastAsia" w:ascii="仿宋_GB2312" w:hAnsi="仿宋_GB2312" w:eastAsia="仿宋_GB2312" w:cs="仿宋_GB2312"/>
                <w:kern w:val="2"/>
                <w:sz w:val="24"/>
                <w:szCs w:val="24"/>
                <w:highlight w:val="none"/>
                <w:lang w:val="en-US" w:eastAsia="zh-CN"/>
              </w:rPr>
              <w:t>第五十三条第一款  违反本办法第三十二条第一款规定，食品生产许可证有效期内，食品生产者名称、现有设备布局和工艺流程、主要生产设备设施等事项发生变化，需要变更食品生产许可证载明的许可事项，未按规定申请变更的，由原发证的市场监督管理部门责令改正，给予警告；拒不改正的，处１万元以上３万元以下罚款。</w:t>
            </w:r>
          </w:p>
        </w:tc>
        <w:tc>
          <w:tcPr>
            <w:tcW w:w="3151" w:type="dxa"/>
            <w:noWrap w:val="0"/>
            <w:vAlign w:val="center"/>
          </w:tcPr>
          <w:p w14:paraId="0EC0F795">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highlight w:val="none"/>
                <w:lang w:val="en" w:eastAsia="zh-CN"/>
              </w:rPr>
            </w:pPr>
            <w:r>
              <w:rPr>
                <w:rFonts w:hint="eastAsia" w:ascii="仿宋_GB2312" w:hAnsi="仿宋_GB2312" w:eastAsia="仿宋_GB2312" w:cs="仿宋_GB2312"/>
                <w:kern w:val="2"/>
                <w:sz w:val="24"/>
                <w:szCs w:val="24"/>
                <w:highlight w:val="none"/>
                <w:lang w:val="en-US" w:eastAsia="zh-CN"/>
              </w:rPr>
              <w:t>1</w:t>
            </w:r>
            <w:r>
              <w:rPr>
                <w:rFonts w:hint="eastAsia" w:ascii="仿宋_GB2312" w:hAnsi="仿宋_GB2312" w:eastAsia="仿宋_GB2312" w:cs="仿宋_GB2312"/>
                <w:kern w:val="2"/>
                <w:sz w:val="24"/>
                <w:szCs w:val="24"/>
                <w:highlight w:val="none"/>
                <w:lang w:val="en" w:eastAsia="zh-CN"/>
              </w:rPr>
              <w:t>．</w:t>
            </w:r>
            <w:r>
              <w:rPr>
                <w:rFonts w:hint="eastAsia" w:ascii="仿宋_GB2312" w:hAnsi="仿宋_GB2312" w:eastAsia="仿宋_GB2312" w:cs="仿宋_GB2312"/>
                <w:kern w:val="2"/>
                <w:sz w:val="24"/>
                <w:szCs w:val="24"/>
                <w:highlight w:val="none"/>
                <w:lang w:val="en-US" w:eastAsia="zh-CN"/>
              </w:rPr>
              <w:t>仅食品生产者名称发生变化；</w:t>
            </w:r>
          </w:p>
          <w:p w14:paraId="3C560689">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highlight w:val="none"/>
                <w:lang w:val="en" w:eastAsia="zh-CN"/>
              </w:rPr>
            </w:pPr>
            <w:r>
              <w:rPr>
                <w:rFonts w:hint="eastAsia" w:ascii="仿宋_GB2312" w:hAnsi="仿宋_GB2312" w:eastAsia="仿宋_GB2312" w:cs="仿宋_GB2312"/>
                <w:kern w:val="2"/>
                <w:sz w:val="24"/>
                <w:szCs w:val="24"/>
                <w:highlight w:val="none"/>
                <w:lang w:val="en-US" w:eastAsia="zh-CN"/>
              </w:rPr>
              <w:t>2</w:t>
            </w:r>
            <w:r>
              <w:rPr>
                <w:rFonts w:hint="eastAsia" w:ascii="仿宋_GB2312" w:hAnsi="仿宋_GB2312" w:eastAsia="仿宋_GB2312" w:cs="仿宋_GB2312"/>
                <w:kern w:val="2"/>
                <w:sz w:val="24"/>
                <w:szCs w:val="24"/>
                <w:highlight w:val="none"/>
                <w:lang w:val="en" w:eastAsia="zh-CN"/>
              </w:rPr>
              <w:t>．</w:t>
            </w:r>
            <w:r>
              <w:rPr>
                <w:rFonts w:hint="eastAsia" w:ascii="仿宋_GB2312" w:hAnsi="仿宋_GB2312" w:eastAsia="仿宋_GB2312" w:cs="仿宋_GB2312"/>
                <w:kern w:val="2"/>
                <w:sz w:val="24"/>
                <w:szCs w:val="24"/>
                <w:highlight w:val="none"/>
                <w:lang w:val="en-US" w:eastAsia="zh-CN"/>
              </w:rPr>
              <w:t>初次违法，及时改正；</w:t>
            </w:r>
          </w:p>
          <w:p w14:paraId="4944F081">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highlight w:val="none"/>
                <w:lang w:val="en" w:eastAsia="zh-CN"/>
              </w:rPr>
            </w:pPr>
            <w:r>
              <w:rPr>
                <w:rFonts w:hint="eastAsia" w:ascii="仿宋_GB2312" w:hAnsi="仿宋_GB2312" w:eastAsia="仿宋_GB2312" w:cs="仿宋_GB2312"/>
                <w:kern w:val="2"/>
                <w:sz w:val="24"/>
                <w:szCs w:val="24"/>
                <w:highlight w:val="none"/>
                <w:lang w:val="en-US" w:eastAsia="zh-CN"/>
              </w:rPr>
              <w:t>3</w:t>
            </w:r>
            <w:r>
              <w:rPr>
                <w:rFonts w:hint="eastAsia" w:ascii="仿宋_GB2312" w:hAnsi="仿宋_GB2312" w:eastAsia="仿宋_GB2312" w:cs="仿宋_GB2312"/>
                <w:kern w:val="2"/>
                <w:sz w:val="24"/>
                <w:szCs w:val="24"/>
                <w:highlight w:val="none"/>
                <w:lang w:val="en" w:eastAsia="zh-CN"/>
              </w:rPr>
              <w:t>．</w:t>
            </w:r>
            <w:r>
              <w:rPr>
                <w:rFonts w:hint="eastAsia" w:ascii="仿宋_GB2312" w:hAnsi="仿宋_GB2312" w:eastAsia="仿宋_GB2312" w:cs="仿宋_GB2312"/>
                <w:kern w:val="2"/>
                <w:sz w:val="24"/>
                <w:szCs w:val="24"/>
                <w:highlight w:val="none"/>
                <w:lang w:val="en-US" w:eastAsia="zh-CN"/>
              </w:rPr>
              <w:t>不存在故意隐瞒行为；</w:t>
            </w:r>
          </w:p>
          <w:p w14:paraId="213DD478">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2"/>
                <w:sz w:val="24"/>
                <w:szCs w:val="24"/>
                <w:highlight w:val="none"/>
                <w:lang w:val="en-US" w:eastAsia="zh-CN"/>
              </w:rPr>
              <w:t>4</w:t>
            </w:r>
            <w:r>
              <w:rPr>
                <w:rFonts w:hint="eastAsia" w:ascii="仿宋_GB2312" w:hAnsi="仿宋_GB2312" w:eastAsia="仿宋_GB2312" w:cs="仿宋_GB2312"/>
                <w:kern w:val="2"/>
                <w:sz w:val="24"/>
                <w:szCs w:val="24"/>
                <w:highlight w:val="none"/>
                <w:lang w:val="en" w:eastAsia="zh-CN"/>
              </w:rPr>
              <w:t>．</w:t>
            </w:r>
            <w:r>
              <w:rPr>
                <w:rFonts w:hint="eastAsia" w:ascii="仿宋_GB2312" w:hAnsi="仿宋_GB2312" w:eastAsia="仿宋_GB2312" w:cs="仿宋_GB2312"/>
                <w:kern w:val="2"/>
                <w:sz w:val="24"/>
                <w:szCs w:val="24"/>
                <w:highlight w:val="none"/>
                <w:lang w:val="en-US" w:eastAsia="zh-CN"/>
              </w:rPr>
              <w:t>没有造成危害后果或者危害后果轻微。</w:t>
            </w:r>
          </w:p>
        </w:tc>
      </w:tr>
      <w:tr w14:paraId="7813D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14:paraId="58B39923">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34</w:t>
            </w:r>
          </w:p>
        </w:tc>
        <w:tc>
          <w:tcPr>
            <w:tcW w:w="2378" w:type="dxa"/>
            <w:noWrap w:val="0"/>
            <w:vAlign w:val="center"/>
          </w:tcPr>
          <w:p w14:paraId="0794B869">
            <w:pPr>
              <w:pStyle w:val="2"/>
              <w:ind w:left="0" w:leftChars="0" w:firstLine="0" w:firstLineChars="0"/>
              <w:rPr>
                <w:rFonts w:hint="eastAsia"/>
                <w:lang w:val="en-US" w:eastAsia="zh-CN"/>
              </w:rPr>
            </w:pPr>
            <w:r>
              <w:rPr>
                <w:rFonts w:hint="eastAsia"/>
                <w:lang w:val="en-US" w:eastAsia="zh-CN"/>
              </w:rPr>
              <w:t>通过自建网站交易的食品生产经营者在通信主管部门批准后30个工作日内，未向所在地市场监督管理部门履行相应备案义务</w:t>
            </w:r>
          </w:p>
          <w:p w14:paraId="4EA3C0BB">
            <w:pPr>
              <w:rPr>
                <w:rFonts w:hint="eastAsia"/>
                <w:lang w:val="en-US" w:eastAsia="zh-CN"/>
              </w:rPr>
            </w:pPr>
          </w:p>
        </w:tc>
        <w:tc>
          <w:tcPr>
            <w:tcW w:w="7938" w:type="dxa"/>
            <w:noWrap w:val="0"/>
            <w:vAlign w:val="center"/>
          </w:tcPr>
          <w:p w14:paraId="43D9AC5C">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16" w:lineRule="exact"/>
              <w:jc w:val="both"/>
              <w:textAlignment w:val="auto"/>
              <w:rPr>
                <w:rFonts w:hint="eastAsia" w:ascii="仿宋_GB2312" w:hAnsi="仿宋_GB2312" w:eastAsia="仿宋_GB2312" w:cs="仿宋_GB2312"/>
                <w:kern w:val="2"/>
                <w:sz w:val="24"/>
                <w:szCs w:val="24"/>
                <w:highlight w:val="none"/>
                <w:lang w:val="en-US" w:eastAsia="zh-CN"/>
              </w:rPr>
            </w:pPr>
            <w:r>
              <w:rPr>
                <w:rFonts w:hint="eastAsia" w:ascii="仿宋_GB2312" w:hAnsi="仿宋_GB2312" w:eastAsia="仿宋_GB2312" w:cs="仿宋_GB2312"/>
                <w:kern w:val="2"/>
                <w:sz w:val="24"/>
                <w:szCs w:val="24"/>
                <w:highlight w:val="none"/>
                <w:lang w:val="en-US" w:eastAsia="zh-CN"/>
              </w:rPr>
              <w:t>《网络食品安全违法行为查处办法》第八条第二款  通过自建网站交易的食品生产经营者应当在通信主管部门批准后30个工作日内，向所在地市、县级市场监督管理部门备案，取得备案号。</w:t>
            </w:r>
          </w:p>
          <w:p w14:paraId="47433FDB">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highlight w:val="none"/>
                <w:lang w:val="en-US" w:eastAsia="zh-CN"/>
              </w:rPr>
            </w:pPr>
            <w:r>
              <w:rPr>
                <w:rFonts w:hint="eastAsia" w:ascii="仿宋_GB2312" w:hAnsi="仿宋_GB2312" w:eastAsia="仿宋_GB2312" w:cs="仿宋_GB2312"/>
                <w:kern w:val="2"/>
                <w:sz w:val="24"/>
                <w:szCs w:val="24"/>
                <w:highlight w:val="none"/>
                <w:lang w:val="en-US" w:eastAsia="zh-CN"/>
              </w:rPr>
              <w:t>第二十九条  违反本办法第八条规定，网络食品交易第三方平台提供者和通过自建网站交易的食品生产经营者未履行相应备案义务的，由县级以上地方市场监督管理部门责令改正，给予警告；拒不改正的，处5000元以上3万元以下罚款。</w:t>
            </w:r>
          </w:p>
        </w:tc>
        <w:tc>
          <w:tcPr>
            <w:tcW w:w="3151" w:type="dxa"/>
            <w:noWrap w:val="0"/>
            <w:vAlign w:val="center"/>
          </w:tcPr>
          <w:p w14:paraId="10FF17CE">
            <w:pP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1.初次违法；</w:t>
            </w:r>
          </w:p>
          <w:p w14:paraId="47C03BC7">
            <w:pP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2.没有造成危害后果或者危害后果轻微；</w:t>
            </w:r>
          </w:p>
          <w:p w14:paraId="61BAD59B">
            <w:pPr>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color w:val="auto"/>
                <w:kern w:val="0"/>
                <w:sz w:val="24"/>
                <w:szCs w:val="24"/>
                <w:highlight w:val="none"/>
                <w:u w:val="none"/>
                <w:lang w:val="en-US" w:eastAsia="zh-CN" w:bidi="ar"/>
              </w:rPr>
              <w:t>3.及时改正。</w:t>
            </w:r>
          </w:p>
        </w:tc>
      </w:tr>
      <w:tr w14:paraId="44F3A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14:paraId="4446A2D9">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35</w:t>
            </w:r>
          </w:p>
        </w:tc>
        <w:tc>
          <w:tcPr>
            <w:tcW w:w="2378" w:type="dxa"/>
            <w:noWrap w:val="0"/>
            <w:vAlign w:val="center"/>
          </w:tcPr>
          <w:p w14:paraId="2C954138">
            <w:pPr>
              <w:pStyle w:val="2"/>
              <w:ind w:left="0" w:leftChars="0" w:firstLine="0" w:firstLineChars="0"/>
              <w:rPr>
                <w:rFonts w:hint="eastAsia"/>
                <w:lang w:eastAsia="zh-CN"/>
              </w:rPr>
            </w:pPr>
            <w:r>
              <w:rPr>
                <w:rFonts w:hint="eastAsia"/>
              </w:rPr>
              <w:t>销售者（含网络商品经营者）</w:t>
            </w:r>
            <w:r>
              <w:rPr>
                <w:rFonts w:hint="eastAsia"/>
                <w:lang w:eastAsia="zh-CN"/>
              </w:rPr>
              <w:t>实施《水效标识管理办法》第二十八条规定的违法行为</w:t>
            </w:r>
          </w:p>
          <w:p w14:paraId="75495643">
            <w:pPr>
              <w:rPr>
                <w:rFonts w:hint="eastAsia"/>
                <w:lang w:eastAsia="zh-CN"/>
              </w:rPr>
            </w:pPr>
          </w:p>
        </w:tc>
        <w:tc>
          <w:tcPr>
            <w:tcW w:w="7938" w:type="dxa"/>
            <w:noWrap w:val="0"/>
            <w:vAlign w:val="center"/>
          </w:tcPr>
          <w:p w14:paraId="27A62B21">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highlight w:val="none"/>
                <w:lang w:val="en-US" w:eastAsia="zh-CN"/>
              </w:rPr>
            </w:pPr>
            <w:r>
              <w:rPr>
                <w:rFonts w:hint="eastAsia" w:ascii="仿宋_GB2312" w:hAnsi="仿宋_GB2312" w:eastAsia="仿宋_GB2312" w:cs="仿宋_GB2312"/>
                <w:kern w:val="2"/>
                <w:sz w:val="24"/>
                <w:szCs w:val="24"/>
                <w:highlight w:val="none"/>
                <w:lang w:val="en-US" w:eastAsia="zh-CN"/>
              </w:rPr>
              <w:t>《水效标识管理办法》第八条  凡列入《目录》的产品，应当在产品或者产品最小包装的明显部位标注水效标识，并在产品使用说明书中予以说明。对于网络交易，销售者应当在产品信息展示主页面醒目位置展示相应的水效标识。</w:t>
            </w:r>
          </w:p>
          <w:p w14:paraId="2FA06775">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highlight w:val="none"/>
                <w:lang w:val="en-US" w:eastAsia="zh-CN"/>
              </w:rPr>
            </w:pPr>
            <w:r>
              <w:rPr>
                <w:rFonts w:hint="eastAsia" w:ascii="仿宋_GB2312" w:hAnsi="仿宋_GB2312" w:eastAsia="仿宋_GB2312" w:cs="仿宋_GB2312"/>
                <w:kern w:val="2"/>
                <w:sz w:val="24"/>
                <w:szCs w:val="24"/>
                <w:highlight w:val="none"/>
                <w:lang w:val="en-US" w:eastAsia="zh-CN"/>
              </w:rPr>
              <w:t>第十一条第二款  在产品包装物、说明书、广告宣传以及网络商品交易产品信息展示主页面中使用的水效标识，可按比例放大或者缩小，并清晰可辨。</w:t>
            </w:r>
          </w:p>
          <w:p w14:paraId="17C072DB">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highlight w:val="none"/>
                <w:lang w:val="en-US" w:eastAsia="zh-CN"/>
              </w:rPr>
            </w:pPr>
            <w:r>
              <w:rPr>
                <w:rFonts w:hint="eastAsia" w:ascii="仿宋_GB2312" w:hAnsi="仿宋_GB2312" w:eastAsia="仿宋_GB2312" w:cs="仿宋_GB2312"/>
                <w:kern w:val="2"/>
                <w:sz w:val="24"/>
                <w:szCs w:val="24"/>
                <w:highlight w:val="none"/>
                <w:lang w:val="en-US" w:eastAsia="zh-CN"/>
              </w:rPr>
              <w:t>第二十一条第一款  销售者（含网络商品经营者）应当建立并执行进货检查验收制度，对列入《目录》的产品，验明产品水效标识，不得销售应当标注但未标注水效标识的产品。</w:t>
            </w:r>
          </w:p>
          <w:p w14:paraId="38D603B1">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highlight w:val="none"/>
                <w:lang w:val="en-US" w:eastAsia="zh-CN"/>
              </w:rPr>
            </w:pPr>
            <w:r>
              <w:rPr>
                <w:rFonts w:hint="eastAsia" w:ascii="仿宋_GB2312" w:hAnsi="仿宋_GB2312" w:eastAsia="仿宋_GB2312" w:cs="仿宋_GB2312"/>
                <w:kern w:val="2"/>
                <w:sz w:val="24"/>
                <w:szCs w:val="24"/>
                <w:highlight w:val="none"/>
                <w:lang w:val="en-US" w:eastAsia="zh-CN"/>
              </w:rPr>
              <w:t>第二十八条 违反本办法规定，销售者（含网络商品经营者）有下列情形之一的，予以通报，并处一万元以上三万元以下罚款：（一）销售应当标注但未标注水效标识的产品的；（二）销售使用不符合规定的水效标识的产品的；（三）在网络交易产品信息主页面展示的水效标识不符合规定的；（四）伪造、冒用水效标识的。</w:t>
            </w:r>
          </w:p>
        </w:tc>
        <w:tc>
          <w:tcPr>
            <w:tcW w:w="3151" w:type="dxa"/>
            <w:noWrap w:val="0"/>
            <w:vAlign w:val="center"/>
          </w:tcPr>
          <w:p w14:paraId="431481AE">
            <w:pP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1.初次违法；</w:t>
            </w:r>
          </w:p>
          <w:p w14:paraId="585783E2">
            <w:pP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2.没有造成危害后果或者危害后果轻微；</w:t>
            </w:r>
          </w:p>
          <w:p w14:paraId="1D85B972">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highlight w:val="none"/>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3.及时改正。</w:t>
            </w:r>
          </w:p>
        </w:tc>
      </w:tr>
      <w:tr w14:paraId="37CFE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14:paraId="18D218B6">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36</w:t>
            </w:r>
          </w:p>
        </w:tc>
        <w:tc>
          <w:tcPr>
            <w:tcW w:w="2378" w:type="dxa"/>
            <w:noWrap w:val="0"/>
            <w:vAlign w:val="center"/>
          </w:tcPr>
          <w:p w14:paraId="3889E582">
            <w:pPr>
              <w:pStyle w:val="2"/>
              <w:ind w:left="0" w:leftChars="0" w:firstLine="0" w:firstLineChars="0"/>
              <w:rPr>
                <w:rFonts w:hint="eastAsia"/>
              </w:rPr>
            </w:pPr>
            <w:r>
              <w:rPr>
                <w:rFonts w:hint="eastAsia"/>
              </w:rPr>
              <w:t>商标印制档案及商标标识出入库台账未按要求存档备查</w:t>
            </w:r>
          </w:p>
          <w:p w14:paraId="7B24CAB3">
            <w:pPr>
              <w:rPr>
                <w:rFonts w:hint="eastAsia"/>
                <w:lang w:val="en-US" w:eastAsia="zh-CN"/>
              </w:rPr>
            </w:pPr>
          </w:p>
        </w:tc>
        <w:tc>
          <w:tcPr>
            <w:tcW w:w="7938" w:type="dxa"/>
            <w:noWrap w:val="0"/>
            <w:vAlign w:val="center"/>
          </w:tcPr>
          <w:p w14:paraId="7AED8163">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highlight w:val="none"/>
                <w:lang w:val="en-US" w:eastAsia="zh-CN"/>
              </w:rPr>
            </w:pPr>
            <w:r>
              <w:rPr>
                <w:rFonts w:hint="eastAsia" w:ascii="仿宋_GB2312" w:hAnsi="仿宋_GB2312" w:eastAsia="仿宋_GB2312" w:cs="仿宋_GB2312"/>
                <w:kern w:val="2"/>
                <w:sz w:val="24"/>
                <w:szCs w:val="24"/>
                <w:highlight w:val="none"/>
                <w:lang w:val="en-US" w:eastAsia="zh-CN"/>
              </w:rPr>
              <w:t>《商标印制管理办法》第十条  商标印制档案及商标标识出入库台帐应当存档备查，存查期为两年。</w:t>
            </w:r>
          </w:p>
          <w:p w14:paraId="177827CE">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highlight w:val="none"/>
                <w:lang w:val="en-US" w:eastAsia="zh-CN"/>
              </w:rPr>
            </w:pPr>
            <w:r>
              <w:rPr>
                <w:rFonts w:hint="eastAsia" w:ascii="仿宋_GB2312" w:hAnsi="仿宋_GB2312" w:eastAsia="仿宋_GB2312" w:cs="仿宋_GB2312"/>
                <w:kern w:val="2"/>
                <w:sz w:val="24"/>
                <w:szCs w:val="24"/>
                <w:highlight w:val="none"/>
                <w:lang w:val="en-US" w:eastAsia="zh-CN"/>
              </w:rPr>
              <w:t>第十一条  商标印制单位违反本办法第七条至第十条规定的，由所在地市场监督管理部门责令其限期改正，并视其情节予以警告，处以非法所得额三倍以下的罚款，但最高不超过三万元，没有违法所得的，可以处以一万元以下的罚款。</w:t>
            </w:r>
          </w:p>
        </w:tc>
        <w:tc>
          <w:tcPr>
            <w:tcW w:w="3151" w:type="dxa"/>
            <w:noWrap w:val="0"/>
            <w:vAlign w:val="center"/>
          </w:tcPr>
          <w:p w14:paraId="4C5C4278">
            <w:pP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1.初次违法；</w:t>
            </w:r>
          </w:p>
          <w:p w14:paraId="11F9653D">
            <w:pP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2.没有造成危害后果或者危害后果轻微；</w:t>
            </w:r>
          </w:p>
          <w:p w14:paraId="71903B7C">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320" w:lineRule="exact"/>
              <w:jc w:val="both"/>
              <w:textAlignment w:val="auto"/>
              <w:rPr>
                <w:rFonts w:hint="eastAsia" w:ascii="仿宋_GB2312" w:hAnsi="仿宋_GB2312" w:eastAsia="仿宋_GB2312" w:cs="仿宋_GB2312"/>
                <w:kern w:val="2"/>
                <w:sz w:val="24"/>
                <w:szCs w:val="24"/>
                <w:highlight w:val="none"/>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3.及时改正。</w:t>
            </w:r>
          </w:p>
        </w:tc>
      </w:tr>
      <w:tr w14:paraId="19388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14:paraId="56B14BDC">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37</w:t>
            </w:r>
          </w:p>
        </w:tc>
        <w:tc>
          <w:tcPr>
            <w:tcW w:w="2378" w:type="dxa"/>
            <w:noWrap w:val="0"/>
            <w:vAlign w:val="center"/>
          </w:tcPr>
          <w:p w14:paraId="3A30B408">
            <w:pPr>
              <w:pStyle w:val="2"/>
              <w:ind w:left="0" w:leftChars="0" w:firstLine="0" w:firstLineChars="0"/>
              <w:rPr>
                <w:rFonts w:hint="eastAsia"/>
                <w:lang w:val="en-US" w:eastAsia="zh-CN"/>
              </w:rPr>
            </w:pPr>
            <w:r>
              <w:rPr>
                <w:rFonts w:hint="eastAsia"/>
                <w:lang w:val="en-US" w:eastAsia="zh-CN"/>
              </w:rPr>
              <w:t>现场开奖，未随时公布超过五百元奖项的兑奖情况</w:t>
            </w:r>
          </w:p>
          <w:p w14:paraId="55D69BE4">
            <w:pPr>
              <w:rPr>
                <w:rFonts w:hint="eastAsia"/>
                <w:lang w:val="en-US" w:eastAsia="zh-CN"/>
              </w:rPr>
            </w:pPr>
          </w:p>
        </w:tc>
        <w:tc>
          <w:tcPr>
            <w:tcW w:w="7938" w:type="dxa"/>
            <w:noWrap w:val="0"/>
            <w:vAlign w:val="center"/>
          </w:tcPr>
          <w:p w14:paraId="1C170E3C">
            <w:pPr>
              <w:rPr>
                <w:rFonts w:hint="eastAsia" w:ascii="仿宋_GB2312" w:hAnsi="仿宋_GB2312" w:eastAsia="仿宋_GB2312" w:cs="仿宋_GB2312"/>
                <w:i w:val="0"/>
                <w:color w:val="000000"/>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highlight w:val="none"/>
                <w:u w:val="none"/>
                <w:lang w:val="en-US" w:eastAsia="zh-CN" w:bidi="ar"/>
              </w:rPr>
              <w:t>《规范促销行为暂行规定》第十三条第二款  在现场即时开奖的有奖销售活动中，对超过五百元奖项的兑奖情况，应当随时公示。</w:t>
            </w:r>
          </w:p>
          <w:p w14:paraId="5B4E8F9F">
            <w:pPr>
              <w:rPr>
                <w:rFonts w:hint="eastAsia" w:ascii="仿宋_GB2312" w:hAnsi="仿宋_GB2312" w:eastAsia="仿宋_GB2312" w:cs="仿宋_GB2312"/>
                <w:i w:val="0"/>
                <w:color w:val="000000"/>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highlight w:val="none"/>
                <w:u w:val="none"/>
                <w:lang w:val="en-US" w:eastAsia="zh-CN" w:bidi="ar"/>
              </w:rPr>
              <w:t>第二十八条  违反本规定第十三条第二款、第十九条，由县级以上市场监督管理部门责令改正，可以处一万元以下罚款。</w:t>
            </w:r>
          </w:p>
        </w:tc>
        <w:tc>
          <w:tcPr>
            <w:tcW w:w="3151" w:type="dxa"/>
            <w:noWrap w:val="0"/>
            <w:vAlign w:val="center"/>
          </w:tcPr>
          <w:p w14:paraId="4DC0BB94">
            <w:pPr>
              <w:rPr>
                <w:rFonts w:hint="eastAsia" w:ascii="仿宋_GB2312" w:hAnsi="仿宋_GB2312" w:eastAsia="仿宋_GB2312" w:cs="仿宋_GB2312"/>
                <w:i w:val="0"/>
                <w:color w:val="000000"/>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highlight w:val="none"/>
                <w:u w:val="none"/>
                <w:lang w:val="en-US" w:eastAsia="zh-CN" w:bidi="ar"/>
              </w:rPr>
              <w:t>1.初次违法；</w:t>
            </w:r>
            <w:r>
              <w:rPr>
                <w:rFonts w:hint="eastAsia" w:ascii="仿宋_GB2312" w:hAnsi="仿宋_GB2312" w:eastAsia="仿宋_GB2312" w:cs="仿宋_GB2312"/>
                <w:i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color w:val="000000"/>
                <w:kern w:val="0"/>
                <w:sz w:val="24"/>
                <w:szCs w:val="24"/>
                <w:highlight w:val="none"/>
                <w:u w:val="none"/>
                <w:lang w:val="en-US" w:eastAsia="zh-CN" w:bidi="ar"/>
              </w:rPr>
              <w:t>2.未公布的兑奖数量较少且占比较小；</w:t>
            </w:r>
            <w:r>
              <w:rPr>
                <w:rFonts w:hint="eastAsia" w:ascii="仿宋_GB2312" w:hAnsi="仿宋_GB2312" w:eastAsia="仿宋_GB2312" w:cs="仿宋_GB2312"/>
                <w:i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color w:val="000000"/>
                <w:kern w:val="0"/>
                <w:sz w:val="24"/>
                <w:szCs w:val="24"/>
                <w:highlight w:val="none"/>
                <w:u w:val="none"/>
                <w:lang w:val="en-US" w:eastAsia="zh-CN" w:bidi="ar"/>
              </w:rPr>
              <w:t>3.及时改正。</w:t>
            </w:r>
          </w:p>
        </w:tc>
      </w:tr>
      <w:tr w14:paraId="0A6AF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14:paraId="6D386F52">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38</w:t>
            </w:r>
          </w:p>
        </w:tc>
        <w:tc>
          <w:tcPr>
            <w:tcW w:w="2378" w:type="dxa"/>
            <w:noWrap w:val="0"/>
            <w:vAlign w:val="center"/>
          </w:tcPr>
          <w:p w14:paraId="1438A998">
            <w:pPr>
              <w:rPr>
                <w:rFonts w:hint="eastAsia"/>
              </w:rPr>
            </w:pPr>
            <w:r>
              <w:rPr>
                <w:rFonts w:hint="eastAsia"/>
              </w:rPr>
              <w:t>经营者未按规定建立有奖销售档案</w:t>
            </w:r>
          </w:p>
          <w:p w14:paraId="7514FFFF">
            <w:pPr>
              <w:pStyle w:val="2"/>
              <w:ind w:left="0" w:leftChars="0" w:firstLine="0" w:firstLineChars="0"/>
              <w:rPr>
                <w:rFonts w:hint="eastAsia"/>
                <w:lang w:val="en-US" w:eastAsia="zh-CN"/>
              </w:rPr>
            </w:pPr>
          </w:p>
        </w:tc>
        <w:tc>
          <w:tcPr>
            <w:tcW w:w="7938" w:type="dxa"/>
            <w:noWrap w:val="0"/>
            <w:vAlign w:val="center"/>
          </w:tcPr>
          <w:p w14:paraId="067B98DE">
            <w:pPr>
              <w:rPr>
                <w:rFonts w:hint="eastAsia" w:ascii="仿宋_GB2312" w:hAnsi="仿宋_GB2312" w:eastAsia="仿宋_GB2312" w:cs="仿宋_GB2312"/>
                <w:i w:val="0"/>
                <w:color w:val="000000"/>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highlight w:val="none"/>
                <w:u w:val="none"/>
                <w:lang w:val="en-US" w:eastAsia="zh-CN" w:bidi="ar"/>
              </w:rPr>
              <w:t>《规范促销行为暂行规定》第十九条  经营者应当建立档案，如实、准确、完整地记录设奖规则、公示信息、兑奖结果、获奖人员等内容，妥善保存两年并依法接受监督检查。</w:t>
            </w:r>
          </w:p>
          <w:p w14:paraId="74E8DD6E">
            <w:pPr>
              <w:rPr>
                <w:rFonts w:hint="eastAsia" w:ascii="仿宋_GB2312" w:hAnsi="仿宋_GB2312" w:eastAsia="仿宋_GB2312" w:cs="仿宋_GB2312"/>
                <w:i w:val="0"/>
                <w:color w:val="000000"/>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highlight w:val="none"/>
                <w:u w:val="none"/>
                <w:lang w:val="en-US" w:eastAsia="zh-CN" w:bidi="ar"/>
              </w:rPr>
              <w:t>第二十八条  违反本规定第十三条第二款、第十九条，由县级以上市场监督管理部门责令改正，可以处一万元以下罚款。</w:t>
            </w:r>
          </w:p>
        </w:tc>
        <w:tc>
          <w:tcPr>
            <w:tcW w:w="3151" w:type="dxa"/>
            <w:noWrap w:val="0"/>
            <w:vAlign w:val="center"/>
          </w:tcPr>
          <w:p w14:paraId="0A71DFE8">
            <w:pPr>
              <w:rPr>
                <w:rFonts w:hint="eastAsia" w:ascii="仿宋_GB2312" w:hAnsi="仿宋_GB2312" w:eastAsia="仿宋_GB2312" w:cs="仿宋_GB2312"/>
                <w:i w:val="0"/>
                <w:color w:val="000000"/>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highlight w:val="none"/>
                <w:u w:val="none"/>
                <w:lang w:val="en-US" w:eastAsia="zh-CN" w:bidi="ar"/>
              </w:rPr>
              <w:t>1.初次违法；</w:t>
            </w:r>
            <w:r>
              <w:rPr>
                <w:rFonts w:hint="eastAsia" w:ascii="仿宋_GB2312" w:hAnsi="仿宋_GB2312" w:eastAsia="仿宋_GB2312" w:cs="仿宋_GB2312"/>
                <w:i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color w:val="000000"/>
                <w:kern w:val="0"/>
                <w:sz w:val="24"/>
                <w:szCs w:val="24"/>
                <w:highlight w:val="none"/>
                <w:u w:val="none"/>
                <w:lang w:val="en-US" w:eastAsia="zh-CN" w:bidi="ar"/>
              </w:rPr>
              <w:t>2.有奖销售没有引起消费者权益争议或者不影响市场监管部门对相关争议的调查处理；</w:t>
            </w:r>
            <w:r>
              <w:rPr>
                <w:rFonts w:hint="eastAsia" w:ascii="仿宋_GB2312" w:hAnsi="仿宋_GB2312" w:eastAsia="仿宋_GB2312" w:cs="仿宋_GB2312"/>
                <w:i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color w:val="000000"/>
                <w:kern w:val="0"/>
                <w:sz w:val="24"/>
                <w:szCs w:val="24"/>
                <w:highlight w:val="none"/>
                <w:u w:val="none"/>
                <w:lang w:val="en-US" w:eastAsia="zh-CN" w:bidi="ar"/>
              </w:rPr>
              <w:t>3.及时改正。</w:t>
            </w:r>
          </w:p>
        </w:tc>
      </w:tr>
      <w:tr w14:paraId="2EF36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14:paraId="6177B8F4">
            <w:pPr>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39</w:t>
            </w:r>
          </w:p>
        </w:tc>
        <w:tc>
          <w:tcPr>
            <w:tcW w:w="2378" w:type="dxa"/>
            <w:noWrap w:val="0"/>
            <w:vAlign w:val="center"/>
          </w:tcPr>
          <w:p w14:paraId="401822FD">
            <w:pPr>
              <w:rPr>
                <w:rFonts w:hint="eastAsia"/>
                <w:lang w:val="en-US" w:eastAsia="zh-CN"/>
              </w:rPr>
            </w:pPr>
            <w:r>
              <w:rPr>
                <w:rFonts w:hint="eastAsia"/>
                <w:lang w:val="en-US" w:eastAsia="zh-CN"/>
              </w:rPr>
              <w:t>药品标签或者说明书存在瑕疵</w:t>
            </w:r>
          </w:p>
          <w:p w14:paraId="1D855E73">
            <w:pPr>
              <w:pStyle w:val="2"/>
              <w:ind w:left="0" w:leftChars="0" w:firstLine="0" w:firstLineChars="0"/>
              <w:rPr>
                <w:rFonts w:hint="eastAsia"/>
                <w:lang w:val="en-US" w:eastAsia="zh-CN"/>
              </w:rPr>
            </w:pPr>
          </w:p>
        </w:tc>
        <w:tc>
          <w:tcPr>
            <w:tcW w:w="7938" w:type="dxa"/>
            <w:noWrap w:val="0"/>
            <w:vAlign w:val="center"/>
          </w:tcPr>
          <w:p w14:paraId="1F5E0E04">
            <w:pP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《中华人民共和国药品管理法》第四十九条第一款 药品包装应当按照规定印有或者贴有标签并附有说明书。</w:t>
            </w:r>
          </w:p>
          <w:p w14:paraId="390FCE83">
            <w:pP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第二款  标签或者说明书应当注明药品的通用名称、成份、规格、上市许可持有人及其地址、生产企业及其地址、批准文号、产品批号、生产日期、有效期、适应症或者功能主治、用法、用量、禁忌、不良反应和注意事项。标签、说明书中的文字应当清晰，生产日期、有效期等事项应当显著标注，容易辨识。</w:t>
            </w:r>
          </w:p>
          <w:p w14:paraId="4B30B2C6">
            <w:pP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第一百二十八条 除依法应当按照假药、劣药处罚的外，药品包装未按照规定印有、贴有标签或者附有说明书，标签、说明书未按照规定注明相关信息或者印有规定标志的，责令改正，给予警告；情节严重的，吊销药品注册证书。</w:t>
            </w:r>
          </w:p>
        </w:tc>
        <w:tc>
          <w:tcPr>
            <w:tcW w:w="3151" w:type="dxa"/>
            <w:noWrap w:val="0"/>
            <w:vAlign w:val="center"/>
          </w:tcPr>
          <w:p w14:paraId="1E342541">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1.初次违法；</w:t>
            </w:r>
          </w:p>
          <w:p w14:paraId="405268B3">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2.不影响安全性、有效性；</w:t>
            </w:r>
          </w:p>
          <w:p w14:paraId="15E6EAF7">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3.不会对消费者造成误导；</w:t>
            </w:r>
          </w:p>
          <w:p w14:paraId="6CC0EA05">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4.及时改正。</w:t>
            </w:r>
          </w:p>
          <w:p w14:paraId="7E13709C">
            <w:pPr>
              <w:pStyle w:val="2"/>
              <w:rPr>
                <w:rFonts w:hint="eastAsia" w:ascii="仿宋_GB2312" w:hAnsi="仿宋_GB2312" w:eastAsia="仿宋_GB2312" w:cs="仿宋_GB2312"/>
                <w:sz w:val="24"/>
                <w:szCs w:val="24"/>
                <w:lang w:val="en-US" w:eastAsia="zh-CN"/>
              </w:rPr>
            </w:pPr>
          </w:p>
        </w:tc>
      </w:tr>
      <w:tr w14:paraId="203E1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14:paraId="6E2B6BCB">
            <w:pPr>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40</w:t>
            </w:r>
          </w:p>
        </w:tc>
        <w:tc>
          <w:tcPr>
            <w:tcW w:w="2378" w:type="dxa"/>
            <w:noWrap w:val="0"/>
            <w:vAlign w:val="center"/>
          </w:tcPr>
          <w:p w14:paraId="6994CF2A">
            <w:pPr>
              <w:rPr>
                <w:rFonts w:hint="eastAsia"/>
                <w:lang w:val="en-US" w:eastAsia="zh-CN"/>
              </w:rPr>
            </w:pPr>
            <w:r>
              <w:rPr>
                <w:rFonts w:hint="eastAsia"/>
                <w:lang w:val="en-US" w:eastAsia="zh-CN"/>
              </w:rPr>
              <w:t>购进药品未按照规定及时进行记录</w:t>
            </w:r>
          </w:p>
          <w:p w14:paraId="168FFFA5">
            <w:pPr>
              <w:pStyle w:val="2"/>
              <w:ind w:left="0" w:leftChars="0" w:firstLine="0" w:firstLineChars="0"/>
              <w:rPr>
                <w:rFonts w:hint="eastAsia"/>
                <w:lang w:val="en-US" w:eastAsia="zh-CN"/>
              </w:rPr>
            </w:pPr>
          </w:p>
        </w:tc>
        <w:tc>
          <w:tcPr>
            <w:tcW w:w="7938" w:type="dxa"/>
            <w:noWrap w:val="0"/>
            <w:vAlign w:val="center"/>
          </w:tcPr>
          <w:p w14:paraId="4DC7ABBD">
            <w:pP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《中华人民共和国药品管理法》第五十七条  药品经营企业购销药品，应当有真实、完整的购销记录。购销记录应当注明药品的通用名称、剂型、规格、产品批号、有效期、上市许可持有人、生产企业、购销单位、购销数量、购销价格、购销日期及国务院药品监督管理部门规定的其他内容。</w:t>
            </w:r>
          </w:p>
          <w:p w14:paraId="57D4EF9C">
            <w:pP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第一百三十条 违反本法规定，药品经营企业购销药品未按照规定进行记录，零售药品未正确说明用法、用量等事项，或者未按照规定调配处方的，责令改正，给予警告；情节严重的，吊销药品经营许可证。</w:t>
            </w:r>
          </w:p>
        </w:tc>
        <w:tc>
          <w:tcPr>
            <w:tcW w:w="3151" w:type="dxa"/>
            <w:noWrap w:val="0"/>
            <w:vAlign w:val="center"/>
          </w:tcPr>
          <w:p w14:paraId="038904FB">
            <w:pP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1.初次违法；</w:t>
            </w:r>
          </w:p>
          <w:p w14:paraId="4A74C189">
            <w:pP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2.索证索票齐全；</w:t>
            </w:r>
          </w:p>
          <w:p w14:paraId="25425D4C">
            <w:pP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3.不影响产品追溯；</w:t>
            </w:r>
          </w:p>
          <w:p w14:paraId="6870C3FB">
            <w:pP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4.及时改正。</w:t>
            </w:r>
          </w:p>
        </w:tc>
      </w:tr>
      <w:tr w14:paraId="567C0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14:paraId="478BA655">
            <w:pPr>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41</w:t>
            </w:r>
          </w:p>
        </w:tc>
        <w:tc>
          <w:tcPr>
            <w:tcW w:w="2378" w:type="dxa"/>
            <w:noWrap w:val="0"/>
            <w:vAlign w:val="center"/>
          </w:tcPr>
          <w:p w14:paraId="500AB56D">
            <w:pPr>
              <w:rPr>
                <w:rFonts w:hint="eastAsia"/>
                <w:lang w:val="en-US" w:eastAsia="zh-CN"/>
              </w:rPr>
            </w:pPr>
            <w:r>
              <w:rPr>
                <w:rFonts w:hint="eastAsia"/>
                <w:lang w:val="en-US" w:eastAsia="zh-CN"/>
              </w:rPr>
              <w:t>经营标签或者说明书存在瑕疵的医疗器械</w:t>
            </w:r>
          </w:p>
          <w:p w14:paraId="39CEC40D">
            <w:pPr>
              <w:pStyle w:val="2"/>
              <w:ind w:left="0" w:leftChars="0" w:firstLine="0" w:firstLineChars="0"/>
              <w:rPr>
                <w:rFonts w:hint="eastAsia"/>
                <w:lang w:val="en-US" w:eastAsia="zh-CN"/>
              </w:rPr>
            </w:pPr>
          </w:p>
        </w:tc>
        <w:tc>
          <w:tcPr>
            <w:tcW w:w="7938" w:type="dxa"/>
            <w:noWrap w:val="0"/>
            <w:vAlign w:val="center"/>
          </w:tcPr>
          <w:p w14:paraId="1442BC08">
            <w:pP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《医疗器械监督管理条例》第三十九条 医疗器械应当有说明书、标签。说明书、标签的内容应当与经注册或者备案的相关内容一致，确保真实、准确。</w:t>
            </w:r>
          </w:p>
          <w:p w14:paraId="34B4316F">
            <w:pP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医疗器械的说明书、标签应当标明下列事项：（一）通用名称、型号、规格；（二）医疗器械注册人、备案人、受托生产企业的名称、地址以及联系方式；（三）生产日期，使用期限或者失效日期；（四）产品性能、主要结构、适用范围；（五）禁忌、注意事项以及其他需要警示或者提示的内容；（六）安装和使用说明或者图示；（七）维护和保养方法，特殊运输、贮存的条件、方法；（八）产品技术要求规定应当标明的其他内容。</w:t>
            </w:r>
          </w:p>
          <w:p w14:paraId="5D6804C8">
            <w:pP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第二类、第三类医疗器械还应当标明医疗器械注册证编号。</w:t>
            </w:r>
          </w:p>
          <w:p w14:paraId="175792AD">
            <w:pP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由消费者个人自行使用的医疗器械还应当具有安全使用的特别说明。</w:t>
            </w:r>
          </w:p>
          <w:p w14:paraId="08AE3AD1">
            <w:pP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第五十七条第二款 进口的医疗器械应当有中文说明书、中文标签。说明书、标签应当符合本条例规定以及相关强制性标准的要求，并在说明书中载明医疗器械的原产地以及境外医疗器械注册人、备案人指定的我国境内企业法人的名称、地址、联系方式。没有中文说明书、中文标签或者说明书、标签不符合本条规定的，不得进口。</w:t>
            </w:r>
          </w:p>
          <w:p w14:paraId="3FD8C0DF">
            <w:pP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 xml:space="preserve">第八十八条第二项  有下列情形之一的，由负责药品监督管理的部门责令改正，处1万元以上5万元以下罚款；拒不改正的，处5万元以上10万元以下罚款；情节严重的，责令停产停业，直至由原发证部门吊销医疗器械生产许可证、医疗器械经营许可证，对违法单位的法定代表人、主要负责人、直接负责的主管人员和其他责任人员，没收违法行为发生期间自本单位所获收入，并处所获收入30%以上2倍以下罚款，5年内禁止其从事医疗器械生产经营活动：（二）生产、经营说明书、标签不符合本条例规定的医疗器械； </w:t>
            </w:r>
          </w:p>
        </w:tc>
        <w:tc>
          <w:tcPr>
            <w:tcW w:w="3151" w:type="dxa"/>
            <w:noWrap w:val="0"/>
            <w:vAlign w:val="center"/>
          </w:tcPr>
          <w:p w14:paraId="2EB078B6">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1.初次违法；</w:t>
            </w:r>
          </w:p>
          <w:p w14:paraId="0076F9DB">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2.不影响安全性、有效性；</w:t>
            </w:r>
          </w:p>
          <w:p w14:paraId="1A28123B">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3.依法履行了进货查验义务，如实说明进货来源；</w:t>
            </w:r>
          </w:p>
          <w:p w14:paraId="327AD1A0">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4.及时改正。</w:t>
            </w:r>
          </w:p>
          <w:p w14:paraId="537FDB56">
            <w:pPr>
              <w:pStyle w:val="2"/>
              <w:rPr>
                <w:rFonts w:hint="eastAsia" w:ascii="仿宋_GB2312" w:hAnsi="仿宋_GB2312" w:eastAsia="仿宋_GB2312" w:cs="仿宋_GB2312"/>
                <w:sz w:val="24"/>
                <w:szCs w:val="24"/>
                <w:lang w:val="en-US" w:eastAsia="zh-CN"/>
              </w:rPr>
            </w:pPr>
          </w:p>
        </w:tc>
      </w:tr>
      <w:tr w14:paraId="65FE5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14:paraId="659C84AE">
            <w:pPr>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42</w:t>
            </w:r>
          </w:p>
        </w:tc>
        <w:tc>
          <w:tcPr>
            <w:tcW w:w="2378" w:type="dxa"/>
            <w:noWrap w:val="0"/>
            <w:vAlign w:val="center"/>
          </w:tcPr>
          <w:p w14:paraId="76DDA299">
            <w:pPr>
              <w:rPr>
                <w:rFonts w:hint="eastAsia"/>
                <w:lang w:val="en-US" w:eastAsia="zh-CN"/>
              </w:rPr>
            </w:pPr>
            <w:r>
              <w:rPr>
                <w:rFonts w:hint="eastAsia"/>
                <w:lang w:val="en-US" w:eastAsia="zh-CN"/>
              </w:rPr>
              <w:t>购进医疗器械未按照规定及时进行记录</w:t>
            </w:r>
          </w:p>
          <w:p w14:paraId="77740BB4">
            <w:pPr>
              <w:pStyle w:val="2"/>
              <w:ind w:left="0" w:leftChars="0" w:firstLine="0" w:firstLineChars="0"/>
              <w:rPr>
                <w:rFonts w:hint="eastAsia"/>
                <w:lang w:val="en-US" w:eastAsia="zh-CN"/>
              </w:rPr>
            </w:pPr>
          </w:p>
        </w:tc>
        <w:tc>
          <w:tcPr>
            <w:tcW w:w="7938" w:type="dxa"/>
            <w:noWrap w:val="0"/>
            <w:vAlign w:val="center"/>
          </w:tcPr>
          <w:p w14:paraId="22D964B6">
            <w:pP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《医疗器械监督管理条例》第四十五条第一款 医疗器械经营企业、使用单位应当从具备合法资质的医疗器械注册人、备案人、生产经营企业购进医疗器械。购进医疗器械时，应当查验供货者的资质和医疗器械的合格证明文件，建立进货查验记录制度。从事第二类、第三类医疗器械批发业务以及第三类医疗器械零售业务的经营企业，还应当建立销售记录制度。</w:t>
            </w:r>
          </w:p>
          <w:p w14:paraId="1CB5DB9C">
            <w:pP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 xml:space="preserve">第八十九条第三项、第四项 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三）医疗器械经营企业、使用单位未依照本条例规定建立并执行医疗器械进货查验记录制度；（四）从事第二类、第三类医疗器械批发业务以及第三类医疗器械零售业务的经营企业未依照本条例规定建立并执行销售记录制度； </w:t>
            </w:r>
          </w:p>
        </w:tc>
        <w:tc>
          <w:tcPr>
            <w:tcW w:w="3151" w:type="dxa"/>
            <w:noWrap w:val="0"/>
            <w:vAlign w:val="center"/>
          </w:tcPr>
          <w:p w14:paraId="22417D04">
            <w:pP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1.初次违法；</w:t>
            </w:r>
          </w:p>
          <w:p w14:paraId="0887D5DD">
            <w:pP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2.索证索票齐全；</w:t>
            </w:r>
          </w:p>
          <w:p w14:paraId="1CB71A89">
            <w:pP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3.不影响产品追溯；</w:t>
            </w:r>
          </w:p>
          <w:p w14:paraId="79FD8650">
            <w:pP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4.及时改正。</w:t>
            </w:r>
          </w:p>
        </w:tc>
      </w:tr>
      <w:tr w14:paraId="6FCD5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14:paraId="0F2438CA">
            <w:pPr>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43</w:t>
            </w:r>
          </w:p>
        </w:tc>
        <w:tc>
          <w:tcPr>
            <w:tcW w:w="2378" w:type="dxa"/>
            <w:noWrap w:val="0"/>
            <w:vAlign w:val="center"/>
          </w:tcPr>
          <w:p w14:paraId="6905E30B">
            <w:pPr>
              <w:rPr>
                <w:rFonts w:hint="eastAsia"/>
                <w:lang w:val="en-US" w:eastAsia="zh-CN"/>
              </w:rPr>
            </w:pPr>
            <w:r>
              <w:rPr>
                <w:rFonts w:hint="eastAsia"/>
                <w:lang w:val="en-US" w:eastAsia="zh-CN"/>
              </w:rPr>
              <w:t>经营化妆品未按规定建立并执行进货查验制度和产品销售记录制度</w:t>
            </w:r>
          </w:p>
          <w:p w14:paraId="22820363">
            <w:pPr>
              <w:pStyle w:val="2"/>
              <w:ind w:left="0" w:leftChars="0" w:firstLine="0" w:firstLineChars="0"/>
              <w:rPr>
                <w:rFonts w:hint="eastAsia"/>
                <w:lang w:val="en-US" w:eastAsia="zh-CN"/>
              </w:rPr>
            </w:pPr>
          </w:p>
        </w:tc>
        <w:tc>
          <w:tcPr>
            <w:tcW w:w="7938" w:type="dxa"/>
            <w:noWrap w:val="0"/>
            <w:vAlign w:val="center"/>
          </w:tcPr>
          <w:p w14:paraId="1B0E0157">
            <w:pP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《化妆品监督管理条例》第三十八条第一款 化妆品经营者应当建立并执行进货查验记录制度，查验供货者的市场主体登记证明、化妆品注册或者备案情况、产品出厂检验合格证明，如实记录并保存相关凭证。记录和凭证保存期限应当符合本条例第三十一条第一款的规定。</w:t>
            </w:r>
          </w:p>
          <w:p w14:paraId="1ADC5C31">
            <w:pP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 xml:space="preserve">第六十二条第一款第二项   有下列情形之一的，由负责药品监督管理的部门责令改正，给予警告，并处1万元以上3万元以下罚款；情节严重的，责令停产停业，并处3万元以上5万元以下罚款，对违法单位的法定代表人或者主要负责人、直接负责的主管人员和其他直接责任人员处1万元以上3万元以下罚款：（二）未依照本条例规定建立并执行进货查验记录制度、产品销售记录制度； </w:t>
            </w:r>
          </w:p>
        </w:tc>
        <w:tc>
          <w:tcPr>
            <w:tcW w:w="3151" w:type="dxa"/>
            <w:noWrap w:val="0"/>
            <w:vAlign w:val="center"/>
          </w:tcPr>
          <w:p w14:paraId="2519D8D8">
            <w:pP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1.初次违法；</w:t>
            </w:r>
          </w:p>
          <w:p w14:paraId="0C2DD337">
            <w:pP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2.索证索票齐全；</w:t>
            </w:r>
          </w:p>
          <w:p w14:paraId="3957D479">
            <w:pP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3.不影响产品追溯；</w:t>
            </w:r>
          </w:p>
          <w:p w14:paraId="0576001C">
            <w:pP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4.经营的化妆品为普通化妆品；</w:t>
            </w:r>
          </w:p>
          <w:p w14:paraId="0AA07540">
            <w:pP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5.及时改正。</w:t>
            </w:r>
          </w:p>
        </w:tc>
      </w:tr>
      <w:tr w14:paraId="0E39B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14:paraId="186B7C72">
            <w:pPr>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44</w:t>
            </w:r>
          </w:p>
        </w:tc>
        <w:tc>
          <w:tcPr>
            <w:tcW w:w="2378" w:type="dxa"/>
            <w:noWrap w:val="0"/>
            <w:vAlign w:val="center"/>
          </w:tcPr>
          <w:p w14:paraId="11349150">
            <w:pPr>
              <w:pStyle w:val="2"/>
              <w:ind w:left="0" w:leftChars="0" w:firstLine="0" w:firstLineChars="0"/>
              <w:rPr>
                <w:rFonts w:hint="eastAsia"/>
                <w:lang w:val="en-US" w:eastAsia="zh-CN"/>
              </w:rPr>
            </w:pPr>
            <w:r>
              <w:rPr>
                <w:rFonts w:hint="eastAsia"/>
                <w:lang w:val="en-US" w:eastAsia="zh-CN"/>
              </w:rPr>
              <w:t>化妆品备案人未按规定更新普通化妆品备案信息</w:t>
            </w:r>
          </w:p>
          <w:p w14:paraId="4D479EEE">
            <w:pPr>
              <w:rPr>
                <w:rFonts w:hint="eastAsia"/>
                <w:lang w:val="en-US" w:eastAsia="zh-CN"/>
              </w:rPr>
            </w:pPr>
          </w:p>
        </w:tc>
        <w:tc>
          <w:tcPr>
            <w:tcW w:w="7938" w:type="dxa"/>
            <w:noWrap w:val="0"/>
            <w:vAlign w:val="center"/>
          </w:tcPr>
          <w:p w14:paraId="0AD90C1F">
            <w:pP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《化妆品注册备案管理办法》第三十六条 已经备案的普通化妆品，无正当理由不得随意改变产品名称；没有充分的科学依据，不得随意改变功效宣称。</w:t>
            </w:r>
          </w:p>
          <w:p w14:paraId="251E5BC6">
            <w:pP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已经备案的普通化妆品不得随意改变产品配方，但因原料来源改变等原因导致产品配方发生微小变化的情况除外。</w:t>
            </w:r>
          </w:p>
          <w:p w14:paraId="3CA21925">
            <w:pP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备案人、境内责任人地址变化导致备案管理部门改变的，备案人应当重新进行备案。</w:t>
            </w:r>
          </w:p>
          <w:p w14:paraId="39318A25">
            <w:pP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 xml:space="preserve">第五十六条第二款 化妆品、化妆品新原料备案人未按照本办法规定更新普通化妆品、化妆品新原料备案信息的，由承担备案管理工作的药品监督管理部门责令改正，给予警告，处5000元以上3万元以下罚款。 </w:t>
            </w:r>
          </w:p>
        </w:tc>
        <w:tc>
          <w:tcPr>
            <w:tcW w:w="3151" w:type="dxa"/>
            <w:noWrap w:val="0"/>
            <w:vAlign w:val="center"/>
          </w:tcPr>
          <w:p w14:paraId="71542B7E">
            <w:pP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1.初次违法；</w:t>
            </w:r>
          </w:p>
          <w:p w14:paraId="5BCE82A2">
            <w:pP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2.没有造成危害后果或者危害后果轻微；</w:t>
            </w:r>
          </w:p>
          <w:p w14:paraId="0BE458A2">
            <w:pP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3.及时改正。</w:t>
            </w:r>
          </w:p>
        </w:tc>
      </w:tr>
      <w:tr w14:paraId="30567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14:paraId="52514D68">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45</w:t>
            </w:r>
          </w:p>
        </w:tc>
        <w:tc>
          <w:tcPr>
            <w:tcW w:w="2378" w:type="dxa"/>
            <w:noWrap w:val="0"/>
            <w:vAlign w:val="center"/>
          </w:tcPr>
          <w:p w14:paraId="074D9A19">
            <w:pPr>
              <w:pStyle w:val="2"/>
              <w:ind w:left="0" w:leftChars="0" w:firstLine="0" w:firstLineChars="0"/>
              <w:rPr>
                <w:rFonts w:hint="eastAsia"/>
              </w:rPr>
            </w:pPr>
            <w:r>
              <w:rPr>
                <w:rFonts w:hint="eastAsia"/>
              </w:rPr>
              <w:t>化妆品展销会举办者未在展销会举办前按规定履行报告义务</w:t>
            </w:r>
          </w:p>
          <w:p w14:paraId="571A8F61">
            <w:pPr>
              <w:rPr>
                <w:rFonts w:hint="eastAsia"/>
              </w:rPr>
            </w:pPr>
          </w:p>
        </w:tc>
        <w:tc>
          <w:tcPr>
            <w:tcW w:w="7938" w:type="dxa"/>
            <w:noWrap w:val="0"/>
            <w:vAlign w:val="center"/>
          </w:tcPr>
          <w:p w14:paraId="097D2F8C">
            <w:pPr>
              <w:tabs>
                <w:tab w:val="left" w:pos="790"/>
                <w:tab w:val="left" w:pos="1264"/>
              </w:tabs>
              <w:overflowPunct w:val="0"/>
              <w:adjustRightInd w:val="0"/>
              <w:snapToGrid w:val="0"/>
              <w:spacing w:line="32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《化妆品生产经营监督管理办法》第四十二条第三款  化妆品展销会举办者应当在展销会举办前向所在地县级负责药品监督管理的部门报告展销会的时间、地点等基本信息。</w:t>
            </w:r>
          </w:p>
          <w:p w14:paraId="0A54BAE9">
            <w:pPr>
              <w:tabs>
                <w:tab w:val="left" w:pos="790"/>
                <w:tab w:val="left" w:pos="1264"/>
              </w:tabs>
              <w:overflowPunct w:val="0"/>
              <w:adjustRightInd w:val="0"/>
              <w:snapToGrid w:val="0"/>
              <w:spacing w:line="32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第六十条  违反本办法第四十二条第三款，展销会举办者未按要求向所在地负责药品监督管理的部门报告展销会基本信息的，由负责药品监督管理的部门责令改正，给予警告；拒不改正的，处5000元以上3万元以下罚款。</w:t>
            </w:r>
          </w:p>
        </w:tc>
        <w:tc>
          <w:tcPr>
            <w:tcW w:w="3151" w:type="dxa"/>
            <w:noWrap w:val="0"/>
            <w:vAlign w:val="center"/>
          </w:tcPr>
          <w:p w14:paraId="3A132CDF">
            <w:pP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1.初次违法；</w:t>
            </w:r>
          </w:p>
          <w:p w14:paraId="4A37359F">
            <w:pP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2.没有造成危害后果或者危害后果轻微；</w:t>
            </w:r>
          </w:p>
          <w:p w14:paraId="75BA86B2">
            <w:pPr>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color w:val="auto"/>
                <w:kern w:val="0"/>
                <w:sz w:val="24"/>
                <w:szCs w:val="24"/>
                <w:highlight w:val="none"/>
                <w:u w:val="none"/>
                <w:lang w:val="en-US" w:eastAsia="zh-CN" w:bidi="ar"/>
              </w:rPr>
              <w:t>3.及时改正。</w:t>
            </w:r>
          </w:p>
        </w:tc>
      </w:tr>
      <w:tr w14:paraId="47363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14:paraId="23EA48E6">
            <w:pPr>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46</w:t>
            </w:r>
          </w:p>
        </w:tc>
        <w:tc>
          <w:tcPr>
            <w:tcW w:w="2378" w:type="dxa"/>
            <w:noWrap w:val="0"/>
            <w:vAlign w:val="center"/>
          </w:tcPr>
          <w:p w14:paraId="64C920A1">
            <w:pPr>
              <w:rPr>
                <w:rFonts w:hint="eastAsia"/>
                <w:lang w:val="en-US" w:eastAsia="zh-CN"/>
              </w:rPr>
            </w:pPr>
            <w:r>
              <w:rPr>
                <w:rFonts w:hint="eastAsia"/>
                <w:lang w:val="en-US" w:eastAsia="zh-CN"/>
              </w:rPr>
              <w:t>从事医疗器械网络销售的企业未按照要求展示医疗器械生产经营许可证或者备案凭证、医疗器械注册证或者备案凭证</w:t>
            </w:r>
          </w:p>
          <w:p w14:paraId="0C73E4BF">
            <w:pPr>
              <w:pStyle w:val="2"/>
              <w:ind w:left="0" w:leftChars="0" w:firstLine="0" w:firstLineChars="0"/>
              <w:rPr>
                <w:rFonts w:hint="eastAsia"/>
                <w:lang w:val="en-US" w:eastAsia="zh-CN"/>
              </w:rPr>
            </w:pPr>
          </w:p>
        </w:tc>
        <w:tc>
          <w:tcPr>
            <w:tcW w:w="7938" w:type="dxa"/>
            <w:noWrap w:val="0"/>
            <w:vAlign w:val="center"/>
          </w:tcPr>
          <w:p w14:paraId="6A56E3FA">
            <w:pP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《医疗器械网络销售监督管理办法》第十条 从事医疗器械网络销售的企业，应当在其主页面显著位置展示其医疗器械生产经营许可证件或者备案凭证，产品页面应当展示该产品的医疗器械注册证或者备案凭证。相关展示信息应当画面清晰，容易辨识。其中，医疗器械生产经营许可证件或者备案凭证、医疗器械注册证或者备案凭证的编号还应当以文本形式展示。相关信息发生变更的，应当及时更新展示内容。</w:t>
            </w:r>
          </w:p>
          <w:p w14:paraId="71239A12">
            <w:pP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 xml:space="preserve">第四十条第一项 有下列情形之一的，由县级以上地方食品药品监督管理部门责令改正，给予警告；拒不改正的，处5000元以上1万元以下罚款：（一）从事医疗器械网络销售的企业未按照本办法要求展示医疗器械生产经营许可证或者备案凭证、医疗器械注册证或者备案凭证的； </w:t>
            </w:r>
          </w:p>
        </w:tc>
        <w:tc>
          <w:tcPr>
            <w:tcW w:w="3151" w:type="dxa"/>
            <w:noWrap w:val="0"/>
            <w:vAlign w:val="center"/>
          </w:tcPr>
          <w:p w14:paraId="7071A6FF">
            <w:pP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1.初次违法；</w:t>
            </w:r>
          </w:p>
          <w:p w14:paraId="5AFFC4C8">
            <w:pP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2.已取得医疗器械生产经营许可证或者备案凭证；</w:t>
            </w:r>
          </w:p>
          <w:p w14:paraId="57E7E119">
            <w:pP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3.医疗器械注册证或者备案凭证索证齐全</w:t>
            </w:r>
          </w:p>
          <w:p w14:paraId="58DBE62F">
            <w:pP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4.及时改正。</w:t>
            </w:r>
          </w:p>
        </w:tc>
      </w:tr>
      <w:tr w14:paraId="5015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trPr>
        <w:tc>
          <w:tcPr>
            <w:tcW w:w="707" w:type="dxa"/>
            <w:noWrap w:val="0"/>
            <w:vAlign w:val="center"/>
          </w:tcPr>
          <w:p w14:paraId="3A92571D">
            <w:pPr>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47</w:t>
            </w:r>
          </w:p>
        </w:tc>
        <w:tc>
          <w:tcPr>
            <w:tcW w:w="2378" w:type="dxa"/>
            <w:noWrap w:val="0"/>
            <w:vAlign w:val="center"/>
          </w:tcPr>
          <w:p w14:paraId="7716B3F0">
            <w:pPr>
              <w:pStyle w:val="2"/>
              <w:ind w:left="0" w:leftChars="0" w:firstLine="0" w:firstLineChars="0"/>
              <w:rPr>
                <w:rFonts w:hint="eastAsia"/>
                <w:lang w:val="en-US" w:eastAsia="zh-CN"/>
              </w:rPr>
            </w:pPr>
            <w:r>
              <w:rPr>
                <w:rFonts w:hint="eastAsia"/>
                <w:lang w:val="en-US" w:eastAsia="zh-CN"/>
              </w:rPr>
              <w:t>医疗器械注册人、备案人、受托生产企业未按照要求提交质量管理体系自查报告</w:t>
            </w:r>
          </w:p>
          <w:p w14:paraId="17809C91">
            <w:pPr>
              <w:rPr>
                <w:rFonts w:hint="eastAsia"/>
                <w:lang w:val="en-US" w:eastAsia="zh-CN"/>
              </w:rPr>
            </w:pPr>
          </w:p>
        </w:tc>
        <w:tc>
          <w:tcPr>
            <w:tcW w:w="7938" w:type="dxa"/>
            <w:noWrap w:val="0"/>
            <w:vAlign w:val="center"/>
          </w:tcPr>
          <w:p w14:paraId="5D0341D9">
            <w:pP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《医疗器械监督管理条例》第三十五条第二款  医疗器械注册人、备案人、受托生产企业应当定期对质量管理体系的运行情况进行自查，并按照国务院药品监督管理部门的规定提交自查报告。</w:t>
            </w:r>
          </w:p>
          <w:p w14:paraId="223FA0F7">
            <w:pP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 xml:space="preserve">第八十九条第一项 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一）未按照要求提交质量管理体系自查报告； </w:t>
            </w:r>
          </w:p>
        </w:tc>
        <w:tc>
          <w:tcPr>
            <w:tcW w:w="3151" w:type="dxa"/>
            <w:noWrap w:val="0"/>
            <w:vAlign w:val="center"/>
          </w:tcPr>
          <w:p w14:paraId="2CEF7DA6">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1.初次违法；</w:t>
            </w:r>
          </w:p>
          <w:p w14:paraId="6FBF7C24">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2.已进行质量管理体系自查；</w:t>
            </w:r>
          </w:p>
          <w:p w14:paraId="16D8F532">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3.没有造成危害后果或者危害后果轻微；</w:t>
            </w:r>
          </w:p>
          <w:p w14:paraId="0E8152B0">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4.及时改正。</w:t>
            </w:r>
          </w:p>
          <w:p w14:paraId="496DB3C8">
            <w:pPr>
              <w:pStyle w:val="2"/>
              <w:rPr>
                <w:rFonts w:hint="eastAsia" w:ascii="仿宋_GB2312" w:hAnsi="仿宋_GB2312" w:eastAsia="仿宋_GB2312" w:cs="仿宋_GB2312"/>
                <w:sz w:val="24"/>
                <w:szCs w:val="24"/>
                <w:lang w:val="en-US" w:eastAsia="zh-CN"/>
              </w:rPr>
            </w:pPr>
          </w:p>
        </w:tc>
      </w:tr>
      <w:tr w14:paraId="7CB1C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14:paraId="423C0764">
            <w:pPr>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48</w:t>
            </w:r>
          </w:p>
        </w:tc>
        <w:tc>
          <w:tcPr>
            <w:tcW w:w="2378" w:type="dxa"/>
            <w:noWrap w:val="0"/>
            <w:vAlign w:val="center"/>
          </w:tcPr>
          <w:p w14:paraId="454302DB">
            <w:pPr>
              <w:rPr>
                <w:rFonts w:hint="eastAsia"/>
                <w:lang w:val="en-US" w:eastAsia="zh-CN"/>
              </w:rPr>
            </w:pPr>
            <w:r>
              <w:rPr>
                <w:rFonts w:hint="eastAsia"/>
                <w:lang w:eastAsia="zh-CN"/>
              </w:rPr>
              <w:t>医疗器械注册人</w:t>
            </w:r>
            <w:r>
              <w:rPr>
                <w:rFonts w:hint="eastAsia"/>
                <w:lang w:val="en-US" w:eastAsia="zh-CN"/>
              </w:rPr>
              <w:t>未按照要求撰写、提交或者留存上市后定期风险评价报告</w:t>
            </w:r>
          </w:p>
          <w:p w14:paraId="510D0297">
            <w:pPr>
              <w:pStyle w:val="2"/>
              <w:ind w:left="0" w:leftChars="0" w:firstLine="0" w:firstLineChars="0"/>
              <w:rPr>
                <w:rFonts w:hint="eastAsia"/>
                <w:lang w:val="en-US" w:eastAsia="zh-CN"/>
              </w:rPr>
            </w:pPr>
          </w:p>
        </w:tc>
        <w:tc>
          <w:tcPr>
            <w:tcW w:w="7938" w:type="dxa"/>
            <w:noWrap w:val="0"/>
            <w:vAlign w:val="center"/>
          </w:tcPr>
          <w:p w14:paraId="1A6FE223">
            <w:pP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《医疗器械不良事件监测和再评价管理办法》第</w:t>
            </w:r>
            <w:r>
              <w:rPr>
                <w:rFonts w:hint="eastAsia" w:ascii="仿宋_GB2312" w:hAnsi="仿宋_GB2312" w:eastAsia="仿宋_GB2312" w:cs="仿宋_GB2312"/>
                <w:color w:val="auto"/>
                <w:sz w:val="24"/>
                <w:szCs w:val="24"/>
                <w:highlight w:val="none"/>
                <w:lang w:eastAsia="zh-CN"/>
              </w:rPr>
              <w:t>十四</w:t>
            </w:r>
            <w:r>
              <w:rPr>
                <w:rFonts w:hint="eastAsia" w:ascii="仿宋_GB2312" w:hAnsi="仿宋_GB2312" w:eastAsia="仿宋_GB2312" w:cs="仿宋_GB2312"/>
                <w:color w:val="auto"/>
                <w:sz w:val="24"/>
                <w:szCs w:val="24"/>
                <w:highlight w:val="none"/>
              </w:rPr>
              <w:t>条第</w:t>
            </w:r>
            <w:r>
              <w:rPr>
                <w:rFonts w:hint="eastAsia" w:ascii="仿宋_GB2312" w:hAnsi="仿宋_GB2312" w:eastAsia="仿宋_GB2312" w:cs="仿宋_GB2312"/>
                <w:color w:val="auto"/>
                <w:sz w:val="24"/>
                <w:szCs w:val="24"/>
                <w:highlight w:val="none"/>
                <w:lang w:eastAsia="zh-CN"/>
              </w:rPr>
              <w:t>五项</w:t>
            </w:r>
            <w:r>
              <w:rPr>
                <w:rFonts w:hint="eastAsia" w:ascii="仿宋_GB2312" w:hAnsi="仿宋_GB2312" w:eastAsia="仿宋_GB2312" w:cs="仿宋_GB2312"/>
                <w:color w:val="auto"/>
                <w:sz w:val="24"/>
                <w:szCs w:val="24"/>
                <w:highlight w:val="none"/>
                <w:lang w:val="en-US" w:eastAsia="zh-CN"/>
              </w:rPr>
              <w:t xml:space="preserve"> 持有人应当对其上市的医疗器械进行持续研究，评估风险情况，承担医疗器械不良事件监测的责任，根据分析评价结果采取有效控制措施，并履行下列主要义务：（五）对上市医疗器械安全性进行持续研究，按要求撰写定期风险评价报告；</w:t>
            </w:r>
          </w:p>
          <w:p w14:paraId="1E814449">
            <w:pP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color w:val="auto"/>
                <w:sz w:val="24"/>
                <w:szCs w:val="24"/>
                <w:highlight w:val="none"/>
                <w:lang w:val="en-US" w:eastAsia="zh-CN"/>
              </w:rPr>
              <w:t>第七十三条第七项 持有人有下列情形之一的，由县级以上药品监督管理部门责令改正，给予警告；拒不改正的，处5000元以上2万元以下罚款：（七）未按照要求撰写、提交或者留存上市后定期风险评价报告的；</w:t>
            </w:r>
          </w:p>
        </w:tc>
        <w:tc>
          <w:tcPr>
            <w:tcW w:w="3151" w:type="dxa"/>
            <w:noWrap w:val="0"/>
            <w:vAlign w:val="center"/>
          </w:tcPr>
          <w:p w14:paraId="21EF6590">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1.初次违法；</w:t>
            </w:r>
          </w:p>
          <w:p w14:paraId="78649A96">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2.已进行上市后定期风险评价；</w:t>
            </w:r>
          </w:p>
          <w:p w14:paraId="4898B264">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3.没有造成危害后果或者危害后果轻微；</w:t>
            </w:r>
          </w:p>
          <w:p w14:paraId="15EF3BD0">
            <w:pP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sz w:val="24"/>
                <w:szCs w:val="24"/>
                <w:lang w:val="en-US" w:eastAsia="zh-CN"/>
              </w:rPr>
              <w:t>4.及时改正。</w:t>
            </w:r>
          </w:p>
        </w:tc>
      </w:tr>
    </w:tbl>
    <w:p w14:paraId="0C4219CD">
      <w:pPr>
        <w:rPr>
          <w:rFonts w:hint="eastAsia" w:ascii="仿宋_GB2312" w:hAnsi="仿宋_GB2312" w:eastAsia="仿宋_GB2312" w:cs="仿宋_GB2312"/>
          <w:vanish/>
          <w:sz w:val="24"/>
          <w:szCs w:val="24"/>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5"/>
        <w:gridCol w:w="11089"/>
      </w:tblGrid>
      <w:tr w14:paraId="149A8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3085" w:type="dxa"/>
            <w:noWrap w:val="0"/>
            <w:vAlign w:val="center"/>
          </w:tcPr>
          <w:p w14:paraId="769173EF">
            <w:pPr>
              <w:ind w:firstLine="48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说明</w:t>
            </w:r>
          </w:p>
        </w:tc>
        <w:tc>
          <w:tcPr>
            <w:tcW w:w="11089" w:type="dxa"/>
            <w:noWrap w:val="0"/>
            <w:vAlign w:val="center"/>
          </w:tcPr>
          <w:p w14:paraId="7CF853B4">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1.本清单列明的免罚条件，应当同时具备。</w:t>
            </w:r>
          </w:p>
          <w:p w14:paraId="174321E9">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2.存在情节严重情形的，不适用本清单。</w:t>
            </w:r>
          </w:p>
          <w:p w14:paraId="4BB65DD5">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有</w:t>
            </w:r>
            <w:r>
              <w:rPr>
                <w:rFonts w:hint="eastAsia" w:ascii="仿宋_GB2312" w:hAnsi="仿宋_GB2312" w:eastAsia="仿宋_GB2312" w:cs="仿宋_GB2312"/>
                <w:sz w:val="24"/>
                <w:szCs w:val="24"/>
              </w:rPr>
              <w:t>从重处罚情节的，不适用本清单。</w:t>
            </w:r>
          </w:p>
        </w:tc>
      </w:tr>
    </w:tbl>
    <w:p w14:paraId="53AB11B8">
      <w:pPr>
        <w:rPr>
          <w:rFonts w:ascii="仿宋_GB2312" w:hAnsi="仿宋_GB2312" w:eastAsia="仿宋_GB2312" w:cs="仿宋_GB2312"/>
          <w:sz w:val="24"/>
        </w:rPr>
      </w:pPr>
    </w:p>
    <w:sectPr>
      <w:footerReference r:id="rId3"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方正小标宋简体">
    <w:altName w:val="方正舒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97FD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10E476">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4F10E476">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AC665"/>
    <w:rsid w:val="00090146"/>
    <w:rsid w:val="000B2CCA"/>
    <w:rsid w:val="0027656F"/>
    <w:rsid w:val="003C05DD"/>
    <w:rsid w:val="0047754C"/>
    <w:rsid w:val="00542E8F"/>
    <w:rsid w:val="005A19E8"/>
    <w:rsid w:val="007421F7"/>
    <w:rsid w:val="00797BD7"/>
    <w:rsid w:val="007C713B"/>
    <w:rsid w:val="00A73E5C"/>
    <w:rsid w:val="00CD1EFD"/>
    <w:rsid w:val="075E36D3"/>
    <w:rsid w:val="198961CB"/>
    <w:rsid w:val="2D486E59"/>
    <w:rsid w:val="2FBD0B17"/>
    <w:rsid w:val="375DCA98"/>
    <w:rsid w:val="3BBE5BE0"/>
    <w:rsid w:val="3BCCED7A"/>
    <w:rsid w:val="3CBD581C"/>
    <w:rsid w:val="3FD5C075"/>
    <w:rsid w:val="47A926EA"/>
    <w:rsid w:val="47F758F4"/>
    <w:rsid w:val="4B72523F"/>
    <w:rsid w:val="4B7BF11C"/>
    <w:rsid w:val="51F97A2A"/>
    <w:rsid w:val="57BFC623"/>
    <w:rsid w:val="58DF3E2F"/>
    <w:rsid w:val="638E35C0"/>
    <w:rsid w:val="66F29487"/>
    <w:rsid w:val="6CFFEC65"/>
    <w:rsid w:val="6EA73D63"/>
    <w:rsid w:val="6F9D6B12"/>
    <w:rsid w:val="6FFF9D5C"/>
    <w:rsid w:val="736B50ED"/>
    <w:rsid w:val="73BA2033"/>
    <w:rsid w:val="75EF3F71"/>
    <w:rsid w:val="776EB965"/>
    <w:rsid w:val="77BF375B"/>
    <w:rsid w:val="79CEF138"/>
    <w:rsid w:val="7BCFABF2"/>
    <w:rsid w:val="7DFB045A"/>
    <w:rsid w:val="7EFB56AF"/>
    <w:rsid w:val="7EFFFCA7"/>
    <w:rsid w:val="7FC2A7FF"/>
    <w:rsid w:val="7FEE4296"/>
    <w:rsid w:val="7FFA1B8F"/>
    <w:rsid w:val="7FFAC665"/>
    <w:rsid w:val="B63361C7"/>
    <w:rsid w:val="BBB649E9"/>
    <w:rsid w:val="BF632626"/>
    <w:rsid w:val="BFF3FEC8"/>
    <w:rsid w:val="D3779588"/>
    <w:rsid w:val="D6FD9BAB"/>
    <w:rsid w:val="DAEF458D"/>
    <w:rsid w:val="DDFB20C3"/>
    <w:rsid w:val="DEE6B9CF"/>
    <w:rsid w:val="DF8F9C72"/>
    <w:rsid w:val="E47F0CAD"/>
    <w:rsid w:val="F3FB07BE"/>
    <w:rsid w:val="F3FF4AEA"/>
    <w:rsid w:val="F6ADA1B2"/>
    <w:rsid w:val="FBF5FF9B"/>
    <w:rsid w:val="FBF770C4"/>
    <w:rsid w:val="FBF7C940"/>
    <w:rsid w:val="FD14C79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toc 2"/>
    <w:basedOn w:val="1"/>
    <w:next w:val="1"/>
    <w:qFormat/>
    <w:uiPriority w:val="0"/>
    <w:pPr>
      <w:ind w:left="420" w:leftChars="200"/>
    </w:pPr>
    <w:rPr>
      <w:rFonts w:ascii="Calibri" w:hAnsi="Calibri" w:eastAsia="宋体" w:cs="宋体"/>
      <w:sz w:val="21"/>
      <w:szCs w:val="22"/>
    </w:r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脚 Char"/>
    <w:link w:val="3"/>
    <w:uiPriority w:val="0"/>
    <w:rPr>
      <w:kern w:val="2"/>
      <w:sz w:val="18"/>
      <w:szCs w:val="18"/>
    </w:rPr>
  </w:style>
  <w:style w:type="character" w:customStyle="1" w:styleId="9">
    <w:name w:val="页眉 Char"/>
    <w:link w:val="4"/>
    <w:uiPriority w:val="0"/>
    <w:rPr>
      <w:kern w:val="2"/>
      <w:sz w:val="18"/>
      <w:szCs w:val="18"/>
    </w:rPr>
  </w:style>
  <w:style w:type="character" w:customStyle="1" w:styleId="10">
    <w:name w:val="font71"/>
    <w:basedOn w:val="7"/>
    <w:qFormat/>
    <w:uiPriority w:val="0"/>
    <w:rPr>
      <w:rFonts w:hint="eastAsia" w:ascii="仿宋_GB2312" w:hAnsi="Calibri" w:eastAsia="仿宋_GB2312" w:cs="仿宋_GB2312"/>
      <w:b/>
      <w:bCs/>
      <w:color w:val="000000"/>
      <w:sz w:val="24"/>
      <w:szCs w:val="24"/>
      <w:u w:val="none"/>
    </w:rPr>
  </w:style>
  <w:style w:type="character" w:customStyle="1" w:styleId="11">
    <w:name w:val="font41"/>
    <w:basedOn w:val="7"/>
    <w:qFormat/>
    <w:uiPriority w:val="0"/>
    <w:rPr>
      <w:rFonts w:hint="eastAsia" w:ascii="仿宋_GB2312" w:hAnsi="Calibri"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16151</Words>
  <Characters>16361</Characters>
  <Lines>68</Lines>
  <Paragraphs>19</Paragraphs>
  <TotalTime>18.3333333333333</TotalTime>
  <ScaleCrop>false</ScaleCrop>
  <LinksUpToDate>false</LinksUpToDate>
  <CharactersWithSpaces>16561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2025-04-07T07:24:00Z</dcterms:created>
  <dc:creator>scw</dc:creator>
  <cp:lastModifiedBy> walawala</cp:lastModifiedBy>
  <dcterms:modified xsi:type="dcterms:W3CDTF">2026-03-19T07:00:50Z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eyJoZGlkIjoiMzRjZTU4ZDdjZjdmNWE2N2Q4MjlhNDUxYmNiYTdkMDUiLCJ1c2VySWQiOiI0NTI5OTQ1NDkifQ==</vt:lpwstr>
  </property>
  <property fmtid="{D5CDD505-2E9C-101B-9397-08002B2CF9AE}" pid="4" name="ICV">
    <vt:lpwstr>D30EFE7B82C34C29AF5753511EE5C52E_13</vt:lpwstr>
  </property>
</Properties>
</file>