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napToGrid w:val="0"/>
        <w:jc w:val="both"/>
        <w:rPr>
          <w:rFonts w:eastAsia="仿宋_GB2312"/>
          <w:szCs w:val="32"/>
        </w:rPr>
      </w:pPr>
    </w:p>
    <w:p>
      <w:pPr>
        <w:pStyle w:val="2"/>
        <w:snapToGrid w:val="0"/>
        <w:jc w:val="center"/>
        <w:rPr>
          <w:rStyle w:val="11"/>
          <w:rFonts w:hint="eastAsia" w:ascii="方正小标宋简体" w:hAnsi="方正小标宋_GBK" w:eastAsia="方正小标宋简体" w:cs="方正小标宋_GBK"/>
          <w:color w:val="auto"/>
          <w:sz w:val="44"/>
          <w:szCs w:val="44"/>
          <w:u w:val="none"/>
        </w:rPr>
      </w:pPr>
      <w:r>
        <w:rPr>
          <w:rStyle w:val="11"/>
          <w:rFonts w:hint="eastAsia" w:ascii="方正小标宋简体" w:hAnsi="方正小标宋_GBK" w:eastAsia="方正小标宋简体" w:cs="方正小标宋_GBK"/>
          <w:color w:val="auto"/>
          <w:sz w:val="44"/>
          <w:szCs w:val="44"/>
          <w:u w:val="none"/>
        </w:rPr>
        <w:t>天津市人民政府办公厅关于印发</w:t>
      </w:r>
    </w:p>
    <w:p>
      <w:pPr>
        <w:pStyle w:val="2"/>
        <w:snapToGrid w:val="0"/>
        <w:jc w:val="center"/>
        <w:rPr>
          <w:rStyle w:val="11"/>
          <w:rFonts w:hint="eastAsia" w:ascii="方正小标宋简体" w:hAnsi="方正小标宋_GBK" w:eastAsia="方正小标宋简体" w:cs="方正小标宋_GBK"/>
          <w:color w:val="auto"/>
          <w:sz w:val="44"/>
          <w:szCs w:val="44"/>
          <w:u w:val="none"/>
        </w:rPr>
      </w:pPr>
      <w:r>
        <w:rPr>
          <w:rStyle w:val="11"/>
          <w:rFonts w:hint="eastAsia" w:ascii="方正小标宋简体" w:hAnsi="方正小标宋_GBK" w:eastAsia="方正小标宋简体" w:cs="方正小标宋_GBK"/>
          <w:color w:val="auto"/>
          <w:sz w:val="44"/>
          <w:szCs w:val="44"/>
          <w:u w:val="none"/>
        </w:rPr>
        <w:t>天津市推进气象高质量发展行动计划</w:t>
      </w:r>
    </w:p>
    <w:p>
      <w:pPr>
        <w:pStyle w:val="2"/>
        <w:snapToGrid w:val="0"/>
        <w:jc w:val="center"/>
        <w:rPr>
          <w:rStyle w:val="11"/>
          <w:rFonts w:ascii="方正小标宋_GBK" w:hAnsi="方正小标宋_GBK" w:eastAsia="方正小标宋_GBK" w:cs="方正小标宋_GBK"/>
          <w:color w:val="auto"/>
          <w:sz w:val="44"/>
          <w:szCs w:val="44"/>
          <w:u w:val="none"/>
        </w:rPr>
      </w:pPr>
      <w:r>
        <w:rPr>
          <w:rStyle w:val="11"/>
          <w:rFonts w:hint="eastAsia" w:ascii="方正小标宋简体" w:hAnsi="方正小标宋_GBK" w:eastAsia="方正小标宋简体" w:cs="方正小标宋_GBK"/>
          <w:color w:val="auto"/>
          <w:sz w:val="44"/>
          <w:szCs w:val="44"/>
          <w:u w:val="none"/>
        </w:rPr>
        <w:t>（2026—2030年）的通知</w:t>
      </w:r>
    </w:p>
    <w:p>
      <w:pPr>
        <w:pStyle w:val="2"/>
        <w:snapToGrid w:val="0"/>
        <w:rPr>
          <w:rFonts w:ascii="仿宋_GB2312" w:hAnsi="仿宋_GB2312" w:eastAsia="仿宋_GB2312" w:cs="仿宋_GB2312"/>
          <w:szCs w:val="32"/>
        </w:rPr>
      </w:pPr>
    </w:p>
    <w:p>
      <w:pPr>
        <w:pStyle w:val="2"/>
        <w:rPr>
          <w:rFonts w:ascii="仿宋_GB2312" w:eastAsia="仿宋_GB2312"/>
        </w:rPr>
      </w:pPr>
      <w:r>
        <w:rPr>
          <w:rFonts w:hint="eastAsia" w:ascii="仿宋_GB2312" w:eastAsia="仿宋_GB2312"/>
        </w:rPr>
        <w:t>各区人民政府，市政府有关委、办、局：</w:t>
      </w:r>
    </w:p>
    <w:p>
      <w:pPr>
        <w:pStyle w:val="2"/>
        <w:ind w:firstLine="612" w:firstLineChars="196"/>
        <w:rPr>
          <w:rFonts w:eastAsia="仿宋_GB2312"/>
          <w:szCs w:val="32"/>
        </w:rPr>
      </w:pPr>
      <w:r>
        <w:rPr>
          <w:rFonts w:hint="eastAsia" w:eastAsia="仿宋_GB2312"/>
          <w:szCs w:val="32"/>
        </w:rPr>
        <w:t>经市人民政府同意，现将《天津市推进气象高质量发展行动计划（2026—2030年）》印发给你们，请照此执行。</w:t>
      </w:r>
    </w:p>
    <w:p>
      <w:pPr>
        <w:pStyle w:val="2"/>
        <w:rPr>
          <w:rFonts w:eastAsia="仿宋_GB2312"/>
          <w:szCs w:val="32"/>
        </w:rPr>
      </w:pPr>
    </w:p>
    <w:p>
      <w:pPr>
        <w:pStyle w:val="2"/>
        <w:keepNext w:val="0"/>
        <w:keepLines w:val="0"/>
        <w:pageBreakBefore w:val="0"/>
        <w:widowControl w:val="0"/>
        <w:kinsoku/>
        <w:overflowPunct/>
        <w:topLinePunct w:val="0"/>
        <w:autoSpaceDE/>
        <w:autoSpaceDN/>
        <w:bidi w:val="0"/>
        <w:adjustRightInd/>
        <w:snapToGrid/>
        <w:spacing w:line="360" w:lineRule="auto"/>
        <w:jc w:val="center"/>
        <w:textAlignment w:val="auto"/>
        <w:rPr>
          <w:rFonts w:eastAsia="仿宋_GB2312"/>
          <w:szCs w:val="32"/>
        </w:rPr>
      </w:pPr>
      <w:r>
        <w:rPr>
          <w:rFonts w:hint="eastAsia" w:eastAsia="仿宋_GB2312"/>
          <w:szCs w:val="32"/>
          <w:lang w:val="en-US" w:eastAsia="zh-CN"/>
        </w:rPr>
        <w:t xml:space="preserve">                        </w:t>
      </w:r>
      <w:r>
        <w:rPr>
          <w:rFonts w:hint="eastAsia" w:ascii="Times New Roman" w:hAnsi="Times New Roman" w:eastAsia="仿宋_GB2312"/>
          <w:szCs w:val="32"/>
          <w:lang w:val="en-US" w:eastAsia="zh-CN"/>
        </w:rPr>
        <w:t xml:space="preserve"> 天津市人民政府办公厅</w:t>
      </w:r>
    </w:p>
    <w:p>
      <w:pPr>
        <w:pStyle w:val="2"/>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eastAsia="仿宋_GB2312"/>
          <w:szCs w:val="32"/>
        </w:rPr>
      </w:pPr>
      <w:r>
        <w:rPr>
          <w:rFonts w:eastAsia="仿宋_GB2312"/>
          <w:szCs w:val="32"/>
        </w:rPr>
        <w:t>2026</w:t>
      </w:r>
      <w:r>
        <w:rPr>
          <w:rFonts w:hint="eastAsia" w:eastAsia="仿宋_GB2312"/>
          <w:szCs w:val="32"/>
        </w:rPr>
        <w:t>年</w:t>
      </w:r>
      <w:r>
        <w:rPr>
          <w:rFonts w:eastAsia="仿宋_GB2312"/>
          <w:szCs w:val="32"/>
        </w:rPr>
        <w:t>8</w:t>
      </w:r>
      <w:r>
        <w:rPr>
          <w:rFonts w:hint="eastAsia" w:eastAsia="仿宋_GB2312"/>
          <w:szCs w:val="32"/>
        </w:rPr>
        <w:t>月</w:t>
      </w:r>
      <w:r>
        <w:rPr>
          <w:rFonts w:eastAsia="仿宋_GB2312"/>
          <w:szCs w:val="32"/>
        </w:rPr>
        <w:t>1</w:t>
      </w:r>
      <w:r>
        <w:rPr>
          <w:rFonts w:hint="eastAsia" w:eastAsia="仿宋_GB2312"/>
          <w:szCs w:val="32"/>
        </w:rPr>
        <w:t xml:space="preserve">日        </w:t>
      </w:r>
    </w:p>
    <w:p>
      <w:pPr>
        <w:pStyle w:val="2"/>
        <w:spacing w:line="320" w:lineRule="exact"/>
        <w:rPr>
          <w:rFonts w:eastAsia="仿宋_GB2312"/>
          <w:szCs w:val="32"/>
        </w:rPr>
        <w:sectPr>
          <w:headerReference r:id="rId3" w:type="default"/>
          <w:footerReference r:id="rId4" w:type="default"/>
          <w:footerReference r:id="rId5" w:type="even"/>
          <w:pgSz w:w="11907" w:h="16840"/>
          <w:pgMar w:top="2098" w:right="1474" w:bottom="1984" w:left="1587" w:header="851" w:footer="1701" w:gutter="0"/>
          <w:cols w:space="720" w:num="1"/>
          <w:docGrid w:type="linesAndChars" w:linePitch="289" w:charSpace="-1839"/>
        </w:sectPr>
      </w:pPr>
      <w:r>
        <w:rPr>
          <w:rFonts w:hint="eastAsia" w:eastAsia="仿宋_GB2312"/>
          <w:szCs w:val="32"/>
        </w:rPr>
        <w:t xml:space="preserve">    （此件主动公开）</w:t>
      </w:r>
      <w:bookmarkStart w:id="0" w:name="_GoBack"/>
      <w:bookmarkEnd w:id="0"/>
    </w:p>
    <w:p>
      <w:pPr>
        <w:pStyle w:val="2"/>
        <w:snapToGrid w:val="0"/>
        <w:jc w:val="center"/>
        <w:rPr>
          <w:rStyle w:val="11"/>
          <w:rFonts w:hint="eastAsia" w:ascii="方正小标宋简体" w:hAnsi="方正小标宋_GBK" w:eastAsia="方正小标宋简体" w:cs="方正小标宋_GBK"/>
          <w:color w:val="auto"/>
          <w:kern w:val="2"/>
          <w:sz w:val="44"/>
          <w:szCs w:val="44"/>
          <w:u w:val="none"/>
          <w:lang w:val="en" w:eastAsia="zh-CN" w:bidi="ar-SA"/>
        </w:rPr>
      </w:pPr>
      <w:r>
        <w:rPr>
          <w:rStyle w:val="11"/>
          <w:rFonts w:hint="eastAsia" w:ascii="方正小标宋简体" w:hAnsi="方正小标宋_GBK" w:eastAsia="方正小标宋简体" w:cs="方正小标宋_GBK"/>
          <w:color w:val="auto"/>
          <w:kern w:val="2"/>
          <w:sz w:val="44"/>
          <w:szCs w:val="44"/>
          <w:u w:val="none"/>
          <w:lang w:val="en" w:eastAsia="zh-CN" w:bidi="ar-SA"/>
        </w:rPr>
        <w:t>天津市推进气象高质量发展行动计划</w:t>
      </w:r>
    </w:p>
    <w:p>
      <w:pPr>
        <w:pStyle w:val="2"/>
        <w:snapToGrid w:val="0"/>
        <w:jc w:val="center"/>
        <w:rPr>
          <w:rFonts w:eastAsia="方正小标宋_GBK"/>
          <w:sz w:val="44"/>
          <w:szCs w:val="44"/>
          <w:u w:val="none"/>
        </w:rPr>
      </w:pPr>
      <w:r>
        <w:rPr>
          <w:rStyle w:val="11"/>
          <w:rFonts w:hint="eastAsia" w:ascii="方正小标宋简体" w:hAnsi="方正小标宋_GBK" w:eastAsia="方正小标宋简体" w:cs="方正小标宋_GBK"/>
          <w:color w:val="auto"/>
          <w:kern w:val="2"/>
          <w:sz w:val="44"/>
          <w:szCs w:val="44"/>
          <w:u w:val="none"/>
          <w:lang w:val="en" w:eastAsia="zh-CN" w:bidi="ar-SA"/>
        </w:rPr>
        <w:t>（2026—2030年）</w:t>
      </w:r>
    </w:p>
    <w:p>
      <w:pPr>
        <w:pStyle w:val="2"/>
        <w:snapToGrid w:val="0"/>
        <w:rPr>
          <w:rFonts w:eastAsia="仿宋_GB2312"/>
          <w:szCs w:val="32"/>
        </w:rPr>
      </w:pPr>
    </w:p>
    <w:p>
      <w:pPr>
        <w:pStyle w:val="2"/>
        <w:ind w:firstLine="624" w:firstLineChars="200"/>
        <w:rPr>
          <w:rFonts w:eastAsia="仿宋_GB2312"/>
          <w:szCs w:val="32"/>
        </w:rPr>
      </w:pPr>
      <w:r>
        <w:rPr>
          <w:rFonts w:hint="eastAsia" w:eastAsia="仿宋_GB2312"/>
          <w:szCs w:val="32"/>
        </w:rPr>
        <w:t>为贯彻落实党中央、国务院决策部署，加快推进气象现代化建设，持续发挥气象防灾减灾第一道防线作用，全方位保障生命安全、生产发展、生活富裕、生态良好，现就推进天津气象高质量发展制定本行动计划。</w:t>
      </w:r>
    </w:p>
    <w:p>
      <w:pPr>
        <w:pStyle w:val="2"/>
        <w:ind w:firstLine="624" w:firstLineChars="200"/>
        <w:rPr>
          <w:rFonts w:ascii="黑体" w:hAnsi="黑体" w:eastAsia="黑体" w:cs="黑体"/>
          <w:szCs w:val="32"/>
        </w:rPr>
      </w:pPr>
      <w:r>
        <w:rPr>
          <w:rFonts w:hint="eastAsia" w:ascii="黑体" w:hAnsi="黑体" w:eastAsia="黑体" w:cs="黑体"/>
          <w:szCs w:val="32"/>
        </w:rPr>
        <w:t>一、工作目标</w:t>
      </w:r>
    </w:p>
    <w:p>
      <w:pPr>
        <w:pStyle w:val="2"/>
        <w:ind w:firstLine="624" w:firstLineChars="200"/>
        <w:rPr>
          <w:rFonts w:eastAsia="仿宋_GB2312"/>
          <w:szCs w:val="32"/>
          <w:highlight w:val="yellow"/>
        </w:rPr>
      </w:pPr>
      <w:r>
        <w:rPr>
          <w:rFonts w:hint="eastAsia" w:eastAsia="仿宋_GB2312"/>
          <w:szCs w:val="32"/>
        </w:rPr>
        <w:t>到2030年，建成行业统筹协同、综合立体的气象观测系统，气象灾害监测率达到97%；建立数智气象预报预警业务体系，精细化网格24小时晴雨（雪）预报准确率达到95%；建成覆盖城乡的公共气象服务体系，气象服务公众覆盖率保持99%；气象科技创新资源配置集约高效，高水平人才队伍进一步壮大，科技创新成果转化应用水平大幅提升，气象科技能力现代化和社会服务现代化实现跨越式发展，气象高质量发展水平稳居全国前列。</w:t>
      </w:r>
    </w:p>
    <w:p>
      <w:pPr>
        <w:pStyle w:val="2"/>
        <w:ind w:firstLine="624" w:firstLineChars="200"/>
        <w:rPr>
          <w:rFonts w:ascii="黑体" w:hAnsi="黑体" w:eastAsia="黑体" w:cs="黑体"/>
          <w:szCs w:val="32"/>
        </w:rPr>
      </w:pPr>
      <w:r>
        <w:rPr>
          <w:rFonts w:hint="eastAsia" w:ascii="黑体" w:hAnsi="黑体" w:eastAsia="黑体" w:cs="黑体"/>
          <w:szCs w:val="32"/>
        </w:rPr>
        <w:t>二、大力培育气象科创优势</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（一）集聚气象科技创新资源。</w:t>
      </w:r>
      <w:r>
        <w:rPr>
          <w:rFonts w:hint="eastAsia" w:eastAsia="仿宋_GB2312"/>
          <w:szCs w:val="32"/>
        </w:rPr>
        <w:t>深化海洋气象科技研究，建强中国气象局黄渤海海洋气象科学试验基地、天津市海洋气象重点实验室，开展海洋气象智能网格预报及风险预警技术攻关。积极争取设立中国气象局大气环境与康养重点开放实验室，加快推进健康气象高质量发展试点建设。高标准建设天津滨海国家气象科创园，引进高校科研团队、气象领域优质企业等创新实体，推进气象智能装备研发及成果产业化项目集聚；搭建国家级气象雷达装备实操实训平台，深入开展国家级气象雷达研究试验、新型装备科技创新研究；加快推进人工影响天气试验基地工程及配套园区建设，推动实施低空多要素气象模拟环境实验室项目。</w:t>
      </w:r>
      <w:r>
        <w:rPr>
          <w:rFonts w:hint="eastAsia" w:ascii="楷体_GB2312" w:hAnsi="楷体_GB2312" w:eastAsia="楷体_GB2312" w:cs="楷体_GB2312"/>
          <w:szCs w:val="32"/>
        </w:rPr>
        <w:t>（市气象局、市科技局、</w:t>
      </w:r>
      <w:r>
        <w:rPr>
          <w:rFonts w:ascii="楷体_GB2312" w:hAnsi="楷体_GB2312" w:eastAsia="楷体_GB2312" w:cs="楷体_GB2312"/>
          <w:szCs w:val="32"/>
        </w:rPr>
        <w:t>市工业和信息化局</w:t>
      </w:r>
      <w:r>
        <w:rPr>
          <w:rFonts w:hint="eastAsia" w:ascii="楷体_GB2312" w:hAnsi="楷体_GB2312" w:eastAsia="楷体_GB2312" w:cs="楷体_GB2312"/>
          <w:szCs w:val="32"/>
        </w:rPr>
        <w:t>，滨海新区人民政府按职责分工负责）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（二）强化重点领域技术攻关。</w:t>
      </w:r>
      <w:r>
        <w:rPr>
          <w:rFonts w:hint="eastAsia" w:eastAsia="仿宋_GB2312"/>
          <w:szCs w:val="32"/>
        </w:rPr>
        <w:t>加强流域气象、雷达研试、健康气象、建筑节能、北极航道和远洋气象导航、城市适应气候变化等气象领域关键技术攻关。积极推进适应气候变化行动，完善气候变化观测体系。发展“百米级、分钟级”精细化数值预报。推进卫星遥感监测应用和温室气体监测方法研究，开展多圈层、多学科及超大城市立体观测试验和低空风场观测试验，协同开展京津冀强降水适应性观测试验。深入推进全民早期预警中国方案“妈祖（MAZU）”新产品研发制作，加大国际推广力度。</w:t>
      </w:r>
      <w:r>
        <w:rPr>
          <w:rFonts w:hint="eastAsia" w:ascii="楷体_GB2312" w:hAnsi="楷体_GB2312" w:eastAsia="楷体_GB2312" w:cs="楷体_GB2312"/>
          <w:szCs w:val="32"/>
        </w:rPr>
        <w:t>（市气象局、市科技局按职责分工负责）</w:t>
      </w:r>
    </w:p>
    <w:p>
      <w:pPr>
        <w:pStyle w:val="2"/>
        <w:ind w:firstLine="624" w:firstLineChars="200"/>
        <w:rPr>
          <w:rFonts w:ascii="黑体" w:hAnsi="黑体" w:eastAsia="黑体" w:cs="黑体"/>
          <w:szCs w:val="32"/>
        </w:rPr>
      </w:pPr>
      <w:r>
        <w:rPr>
          <w:rFonts w:hint="eastAsia" w:ascii="黑体" w:hAnsi="黑体" w:eastAsia="黑体" w:cs="黑体"/>
          <w:szCs w:val="32"/>
        </w:rPr>
        <w:t>三、构建现代化数智气象体系</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（三）构建智能精密的观测体系。</w:t>
      </w:r>
      <w:r>
        <w:rPr>
          <w:rFonts w:hint="eastAsia" w:eastAsia="仿宋_GB2312"/>
          <w:szCs w:val="32"/>
        </w:rPr>
        <w:t>统筹行业气象观测站网，健全气象观测设施共建共享共用机制，推动各部门各行业自建的气象观测设施纳入国家气象观测网络。完善大城市、海洋智能气象观测体系，优化站网布局，配齐观测设施，增强海陆立体观测能力。提升农业、生态环境、交通等专业气象观测能力，满足行业气象服务需求。</w:t>
      </w:r>
      <w:r>
        <w:rPr>
          <w:rFonts w:hint="eastAsia" w:ascii="楷体_GB2312" w:hAnsi="楷体_GB2312" w:eastAsia="楷体_GB2312" w:cs="楷体_GB2312"/>
          <w:szCs w:val="32"/>
        </w:rPr>
        <w:t>（市气象局、市规划资源局、市生态环境局、市交通运输委、市水务局、市农业农村委按职责分工负责）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（四）构建无缝精准的预报体系。</w:t>
      </w:r>
      <w:r>
        <w:rPr>
          <w:rFonts w:hint="eastAsia" w:eastAsia="仿宋_GB2312"/>
          <w:szCs w:val="32"/>
        </w:rPr>
        <w:t>提升短时临近预报预警技术能力，构建新一代短时临近预报预警业务平台。升级0至60天无缝隙智能网格预报业务。打造数智预报助手及预报预警全流程智能体，实现人工智能在“监测—预报—预警—服务”全链条应用。研发海河流域次季节—季节—年尺度深度学习预测模型，建立海河流域多尺度精细化网格预测业务体系，提升极端天气气候事件预报预测能力。</w:t>
      </w:r>
      <w:r>
        <w:rPr>
          <w:rFonts w:hint="eastAsia" w:ascii="楷体_GB2312" w:hAnsi="楷体_GB2312" w:eastAsia="楷体_GB2312" w:cs="楷体_GB2312"/>
          <w:szCs w:val="32"/>
        </w:rPr>
        <w:t>（市气象局负责）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（五）构建智慧精细的气象服务体系。</w:t>
      </w:r>
      <w:r>
        <w:rPr>
          <w:rFonts w:hint="eastAsia" w:eastAsia="仿宋_GB2312"/>
          <w:szCs w:val="32"/>
        </w:rPr>
        <w:t>推动气象工作融入大安全、大应急管理体系，将数字化气象预报预警产品嵌入应急管理“一张图”。推进“</w:t>
      </w:r>
      <w:r>
        <w:rPr>
          <w:rFonts w:hint="eastAsia" w:ascii="仿宋_GB2312" w:hAnsi="仿宋_GB2312" w:eastAsia="仿宋_GB2312" w:cs="仿宋_GB2312"/>
          <w:szCs w:val="32"/>
        </w:rPr>
        <w:t>云+端</w:t>
      </w:r>
      <w:r>
        <w:rPr>
          <w:rFonts w:hint="eastAsia" w:eastAsia="仿宋_GB2312"/>
          <w:szCs w:val="32"/>
        </w:rPr>
        <w:t>”集约化气象服务信息技术架构建设，提高气象灾害风险实时动态研判能力，打造自动感知、智能研判、精准推送的智慧气象服务体系。充分利用高分辨率分钟级实况产品，丰富数字化气象服务产品供给，提升服务需求动态感知、服务产品自动生成、信息精准推送能力，深化递进式服务。推动气象服务融入数字化城市运行和治理平台，打造城市治理应用场景，推进气象数据要素赋能智慧城市建设。引导社会力量、经营主体、科研机构利用气象数据进行创新开发和应用，培育气象服务新业态。</w:t>
      </w:r>
      <w:r>
        <w:rPr>
          <w:rFonts w:hint="eastAsia" w:ascii="楷体_GB2312" w:hAnsi="楷体_GB2312" w:eastAsia="楷体_GB2312" w:cs="楷体_GB2312"/>
          <w:szCs w:val="32"/>
        </w:rPr>
        <w:t>（市应急管理局、市数据局、市气象局按职责分工负责）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（六）构建安全可控的数据及信息网络体系。</w:t>
      </w:r>
      <w:r>
        <w:rPr>
          <w:rFonts w:hint="eastAsia" w:eastAsia="仿宋_GB2312"/>
          <w:szCs w:val="32"/>
        </w:rPr>
        <w:t>参与构建数智一体地球系统大数据平台。升级气象统一身份认证系统，实现动态访问控制。支持气象数据产品开放共享、授权运营，拓展国际合作模式，利用高价值气象数据产品打造特色气象服务场景。推进气象数据在北方大数据交易中心挂牌交易。攻关数字孪生关键技术，实现气象多源数据无缝流转。按需扩容各类通信链路带宽，提升气象通信网络传输能力，加快建设高速气象通信网络。</w:t>
      </w:r>
      <w:r>
        <w:rPr>
          <w:rFonts w:hint="eastAsia" w:ascii="楷体_GB2312" w:hAnsi="楷体_GB2312" w:eastAsia="楷体_GB2312" w:cs="楷体_GB2312"/>
          <w:szCs w:val="32"/>
        </w:rPr>
        <w:t>（市气象局、市数据局按职责分工负责）</w:t>
      </w:r>
    </w:p>
    <w:p>
      <w:pPr>
        <w:pStyle w:val="2"/>
        <w:ind w:firstLine="624" w:firstLineChars="200"/>
        <w:rPr>
          <w:rFonts w:ascii="黑体" w:hAnsi="黑体" w:eastAsia="黑体" w:cs="黑体"/>
          <w:szCs w:val="32"/>
        </w:rPr>
      </w:pPr>
      <w:r>
        <w:rPr>
          <w:rFonts w:hint="eastAsia" w:ascii="黑体" w:hAnsi="黑体" w:eastAsia="黑体" w:cs="黑体"/>
          <w:szCs w:val="32"/>
        </w:rPr>
        <w:t>四、筑牢气象防灾减灾第一道防线</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（七）完善防灾减灾机制。</w:t>
      </w:r>
      <w:r>
        <w:rPr>
          <w:rFonts w:hint="eastAsia" w:eastAsia="仿宋_GB2312"/>
          <w:szCs w:val="32"/>
        </w:rPr>
        <w:t>建立健全以气象预警信息为先导的应急联动响应机制和高级别临灾预警“叫应”机制，健全重大气象灾害预警信息快速发布“绿色通道”制度，提高一键式靶向发布和多渠道传播能力。加强部门联动会商，协同开展地质灾害风险和影响识别，为科学决策、精准调度、及时处置提供有力支撑。编制气象灾害防御规划，修订气象灾害应急预案。（</w:t>
      </w:r>
      <w:r>
        <w:rPr>
          <w:rFonts w:hint="eastAsia" w:ascii="楷体_GB2312" w:hAnsi="楷体_GB2312" w:eastAsia="楷体_GB2312" w:cs="楷体_GB2312"/>
          <w:szCs w:val="32"/>
        </w:rPr>
        <w:t>市应急管理局、市水务局、市气象局、市司法局按职责分工负责）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（八）提升监测预警能力。</w:t>
      </w:r>
      <w:r>
        <w:rPr>
          <w:rFonts w:hint="eastAsia" w:eastAsia="仿宋_GB2312"/>
          <w:szCs w:val="32"/>
        </w:rPr>
        <w:t>气象、水务部门定期开展雷达、降水数据汇交，联合开展中小河流洪水、山洪灾害等风险预警。加强城市暴雨积涝风险提示和灾害风险预警研究，优化积水风险智能分析模型，提升积水深度预测的精准性和有效性，开展分街道、分道路的临灾积涝风险预警服务，实现各类风险点、承灾体全覆盖。加强气象灾害风险评估能力建设，推进气象灾害风险评估动态更新。健全气象灾害监测预报预警体系，丰富气象灾害风险预警产品。</w:t>
      </w:r>
      <w:r>
        <w:rPr>
          <w:rFonts w:hint="eastAsia" w:ascii="楷体_GB2312" w:hAnsi="楷体_GB2312" w:eastAsia="楷体_GB2312" w:cs="楷体_GB2312"/>
          <w:szCs w:val="32"/>
        </w:rPr>
        <w:t>（市应急管理局、市规划资源局、市水务局、市气象局按职责分工负责）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（九）提高全社会气象灾害防御水平。</w:t>
      </w:r>
      <w:r>
        <w:rPr>
          <w:rFonts w:hint="eastAsia" w:eastAsia="仿宋_GB2312"/>
          <w:szCs w:val="32"/>
        </w:rPr>
        <w:t>完善气象灾害风险基础数据库，更新风险普查数据并加强应用。加强气象信息员队伍建设，切实发挥气象信息员在基层综合防灾减灾中的作用。整合多部门资源，组织开展“应急之星”防灾减灾科普教育系列活动，办好“气象观测科普研学一日行”品牌活动，打造气象文化展示平台和文创集市，建设1至2个优秀科普基地。</w:t>
      </w:r>
      <w:r>
        <w:rPr>
          <w:rFonts w:hint="eastAsia" w:ascii="楷体_GB2312" w:hAnsi="楷体_GB2312" w:eastAsia="楷体_GB2312" w:cs="楷体_GB2312"/>
          <w:szCs w:val="32"/>
        </w:rPr>
        <w:t>（市气象局、市应急管理局、市科技局、市科协按职责分工负责）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（十）强化海河流域气象灾害联防联控。</w:t>
      </w:r>
      <w:r>
        <w:rPr>
          <w:rFonts w:hint="eastAsia" w:eastAsia="仿宋_GB2312"/>
          <w:szCs w:val="32"/>
        </w:rPr>
        <w:t>加强海河流域协同保障，健全流域信息共享、联合会商、协同联动和应急联防机制。强化“通武廊”、“平蓟三兴”、“白洋淀”等海河小流域气象联防联动。加快建设海河流域气象水文专题数据库，研发气象水文实况融合“一张图”，</w:t>
      </w:r>
      <w:r>
        <w:rPr>
          <w:rFonts w:eastAsia="仿宋_GB2312"/>
          <w:szCs w:val="32"/>
        </w:rPr>
        <w:t>推进灾害监测数据及雨情、水情、灾情等信息共享共用</w:t>
      </w:r>
      <w:r>
        <w:rPr>
          <w:rFonts w:hint="eastAsia" w:eastAsia="仿宋_GB2312"/>
          <w:szCs w:val="32"/>
        </w:rPr>
        <w:t>。</w:t>
      </w:r>
      <w:r>
        <w:rPr>
          <w:rFonts w:hint="eastAsia" w:ascii="楷体_GB2312" w:hAnsi="楷体_GB2312" w:eastAsia="楷体_GB2312" w:cs="楷体_GB2312"/>
          <w:szCs w:val="32"/>
        </w:rPr>
        <w:t>（市气象局、市应急管理局、市水务局、水利部海河水利委员会按职责分工负责）</w:t>
      </w:r>
    </w:p>
    <w:p>
      <w:pPr>
        <w:pStyle w:val="2"/>
        <w:ind w:firstLine="624" w:firstLineChars="200"/>
        <w:rPr>
          <w:rFonts w:ascii="黑体" w:hAnsi="黑体" w:eastAsia="黑体" w:cs="黑体"/>
          <w:szCs w:val="32"/>
        </w:rPr>
      </w:pPr>
      <w:r>
        <w:rPr>
          <w:rFonts w:hint="eastAsia" w:ascii="黑体" w:hAnsi="黑体" w:eastAsia="黑体" w:cs="黑体"/>
          <w:szCs w:val="32"/>
        </w:rPr>
        <w:t>五、推进气象赋能经济社会高质量发展</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（十一）提升气象服务京津冀协同发展效能。</w:t>
      </w:r>
      <w:r>
        <w:rPr>
          <w:rFonts w:hint="eastAsia" w:eastAsia="仿宋_GB2312"/>
          <w:szCs w:val="32"/>
        </w:rPr>
        <w:t>强化与周边区域的重污染天气预测会商，推动京津冀联防联控，协同应对中重度污染天气过程。发展高分辨率交通气象风险预报预警业务。积极推进“通武廊”气象协同一体化高质量发展试点建设。鼓励申报京津冀环境综合治理国家科技重大专项及气象联合基金项目。建设京津冀一体化观象台，开展京津冀边界层协同观测、北方海洋和沿岸气象科学试验及机理研究。（</w:t>
      </w:r>
      <w:r>
        <w:rPr>
          <w:rFonts w:hint="eastAsia" w:ascii="楷体_GB2312" w:hAnsi="楷体_GB2312" w:eastAsia="楷体_GB2312" w:cs="楷体_GB2312"/>
          <w:szCs w:val="32"/>
        </w:rPr>
        <w:t>市气象局、市科技局、市生态环境局、市交通运输委按职责分工负责）</w:t>
      </w:r>
    </w:p>
    <w:p>
      <w:pPr>
        <w:pStyle w:val="2"/>
        <w:ind w:firstLine="624" w:firstLineChars="200"/>
        <w:rPr>
          <w:rFonts w:eastAsia="仿宋_GB2312"/>
          <w:szCs w:val="32"/>
        </w:rPr>
      </w:pPr>
      <w:r>
        <w:rPr>
          <w:rFonts w:hint="eastAsia" w:ascii="楷体_GB2312" w:hAnsi="楷体_GB2312" w:eastAsia="楷体_GB2312" w:cs="楷体_GB2312"/>
          <w:szCs w:val="32"/>
        </w:rPr>
        <w:t>（十二）提升海洋气象服务能力。</w:t>
      </w:r>
      <w:r>
        <w:rPr>
          <w:rFonts w:hint="eastAsia" w:ascii="仿宋_GB2312" w:hAnsi="仿宋_GB2312" w:eastAsia="仿宋_GB2312" w:cs="仿宋_GB2312"/>
          <w:szCs w:val="32"/>
        </w:rPr>
        <w:t>加强海洋气象灾害智能识别和滚动预报预警。</w:t>
      </w:r>
      <w:r>
        <w:rPr>
          <w:rFonts w:hint="eastAsia" w:eastAsia="仿宋_GB2312"/>
          <w:szCs w:val="32"/>
        </w:rPr>
        <w:t>持续强化水上交通安全气象服务和海上搜救等突发事件应急气象保障能力。提升渔船、渔港气象灾害防御能力，健全完善渔业安全应急体系。构建全链路海洋气象服务体系，提升海洋气象数智化、融入式专业服务能力，提高海洋运输、远洋气象导航、能源开发、海洋旅游、港航物流等领域气象保障水平。完善北极航道气象与冰情预报服务业务，提升北方海洋气象服务能力、北极航道和远洋气象导航保障能力。</w:t>
      </w:r>
      <w:r>
        <w:rPr>
          <w:rFonts w:hint="eastAsia" w:ascii="楷体_GB2312" w:hAnsi="楷体_GB2312" w:eastAsia="楷体_GB2312" w:cs="楷体_GB2312"/>
          <w:szCs w:val="32"/>
        </w:rPr>
        <w:t>（市气象局、天津海事局、市农业农村委、市交通运输委、交通运输部北海航海保障中心按职责分工负责）</w:t>
      </w:r>
    </w:p>
    <w:p>
      <w:pPr>
        <w:pStyle w:val="2"/>
        <w:ind w:firstLine="624" w:firstLineChars="200"/>
        <w:rPr>
          <w:rFonts w:eastAsia="仿宋_GB2312"/>
          <w:szCs w:val="32"/>
          <w:highlight w:val="yellow"/>
        </w:rPr>
      </w:pPr>
      <w:r>
        <w:rPr>
          <w:rFonts w:hint="eastAsia" w:ascii="楷体_GB2312" w:hAnsi="楷体_GB2312" w:eastAsia="楷体_GB2312" w:cs="楷体_GB2312"/>
          <w:szCs w:val="32"/>
        </w:rPr>
        <w:t>（十三）护航粮食安全与农产品生产保供。</w:t>
      </w:r>
      <w:r>
        <w:rPr>
          <w:rFonts w:hint="eastAsia" w:ascii="仿宋_GB2312" w:hAnsi="仿宋_GB2312" w:eastAsia="仿宋_GB2312" w:cs="仿宋_GB2312"/>
          <w:szCs w:val="32"/>
        </w:rPr>
        <w:t>发展都市农业气象影响定量评估与智能决策技术，推</w:t>
      </w:r>
      <w:r>
        <w:rPr>
          <w:rFonts w:hint="eastAsia" w:eastAsia="仿宋_GB2312"/>
          <w:szCs w:val="32"/>
        </w:rPr>
        <w:t>动都市农业气象服务技术全链条升级。围绕粮食和重要农产品“耕种管收储”全过程，开展多源数据融合的精细化预报预警和产量预报业务。持续做好农业、水产养殖气象灾害风险预警、农业气候资源普查和区划工作。组织开展气象灾害类农业保险适用性评估，完善财产保险气象灾害风险减量服务。鼓励金融机构研发推广气候友好型绿色金融产品和转型金融产品。（</w:t>
      </w:r>
      <w:r>
        <w:rPr>
          <w:rFonts w:hint="eastAsia" w:ascii="楷体_GB2312" w:hAnsi="楷体_GB2312" w:eastAsia="楷体_GB2312" w:cs="楷体_GB2312"/>
          <w:szCs w:val="32"/>
        </w:rPr>
        <w:t>市农业农村委、市气象局、天津金融监管局、中国人民银行天津市分行按职责分工负责）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（十四）服务保障韧性安全城市建设。</w:t>
      </w:r>
      <w:r>
        <w:rPr>
          <w:rFonts w:hint="eastAsia" w:eastAsia="仿宋_GB2312"/>
          <w:szCs w:val="32"/>
        </w:rPr>
        <w:t>健全跨部门协同联动工作机制，聚焦暴雨等灾害及其引发的次生灾害，联合开展防御应对和应急处置。组织开展供热气候趋势会商，强化极端天气过程中供热运行调度与安全保障。推进实施城市暴雨积涝精细化定量监测设备建设项目。完善重要输电线路和电力设施安全气象保障服务。依法开展重大规划、重点工程项目气候可行性论证工作。</w:t>
      </w:r>
      <w:r>
        <w:rPr>
          <w:rFonts w:hint="eastAsia" w:ascii="楷体_GB2312" w:hAnsi="楷体_GB2312" w:eastAsia="楷体_GB2312" w:cs="楷体_GB2312"/>
          <w:szCs w:val="32"/>
        </w:rPr>
        <w:t>（市交通运输委、市城市管理委、市气象局按职责分工负责）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（十五）合理开发利用气候资源。</w:t>
      </w:r>
      <w:r>
        <w:rPr>
          <w:rFonts w:hint="eastAsia" w:eastAsia="仿宋_GB2312"/>
          <w:szCs w:val="32"/>
        </w:rPr>
        <w:t>搭建风能、太阳能等气候资源综合业务服务平台，研发多场景风电、光伏发电量预报模型。提升旅游康养气象服务水平，开展气候康养资源调查和城市气候舒适度、气候宜居性等评价。加强物候景观、海洋景观等气象景观预报服务，丰富赏花、观海、露营等特色场景气象服务供给，创新气候生态资源与文旅、康养产业融合发展模式。（</w:t>
      </w:r>
      <w:r>
        <w:rPr>
          <w:rFonts w:hint="eastAsia" w:ascii="楷体_GB2312" w:hAnsi="楷体_GB2312" w:eastAsia="楷体_GB2312" w:cs="楷体_GB2312"/>
          <w:szCs w:val="32"/>
        </w:rPr>
        <w:t>市气象局、市文化和旅游局按职责分工负责）</w:t>
      </w:r>
    </w:p>
    <w:p>
      <w:pPr>
        <w:pStyle w:val="2"/>
        <w:ind w:firstLine="624" w:firstLineChars="200"/>
        <w:rPr>
          <w:rFonts w:ascii="黑体" w:hAnsi="黑体" w:eastAsia="黑体" w:cs="黑体"/>
          <w:szCs w:val="32"/>
        </w:rPr>
      </w:pPr>
      <w:r>
        <w:rPr>
          <w:rFonts w:hint="eastAsia" w:ascii="黑体" w:hAnsi="黑体" w:eastAsia="黑体" w:cs="黑体"/>
          <w:szCs w:val="32"/>
        </w:rPr>
        <w:t>六、优化民生气象服务供给</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（十六）加强气象信息传播管理。</w:t>
      </w:r>
      <w:r>
        <w:rPr>
          <w:rFonts w:hint="eastAsia" w:eastAsia="仿宋_GB2312"/>
          <w:szCs w:val="32"/>
        </w:rPr>
        <w:t>构建稳定、高效、安全的气象信息通信保障体系，推进突发灾害性天气靶向预警发布和“闪信”强制提醒等技术应用。优化气象服务融媒体传播矩阵，丰富传播形式，充分利用主流媒体播报气象服务信息。开展公众气象服务传播质量评估方法与技术研究。</w:t>
      </w:r>
      <w:r>
        <w:rPr>
          <w:rFonts w:hint="eastAsia" w:ascii="楷体_GB2312" w:hAnsi="楷体_GB2312" w:eastAsia="楷体_GB2312" w:cs="楷体_GB2312"/>
          <w:szCs w:val="32"/>
        </w:rPr>
        <w:t>（市气象局、市通信管理局按职责分工负责）</w:t>
      </w:r>
    </w:p>
    <w:p>
      <w:pPr>
        <w:pStyle w:val="2"/>
        <w:ind w:firstLine="624" w:firstLineChars="200"/>
        <w:rPr>
          <w:rFonts w:eastAsia="仿宋_GB2312"/>
          <w:szCs w:val="32"/>
        </w:rPr>
      </w:pPr>
      <w:r>
        <w:rPr>
          <w:rFonts w:hint="eastAsia" w:ascii="楷体_GB2312" w:hAnsi="楷体_GB2312" w:eastAsia="楷体_GB2312" w:cs="楷体_GB2312"/>
          <w:szCs w:val="32"/>
        </w:rPr>
        <w:t>（十七）拓展健康气象服务领域。</w:t>
      </w:r>
      <w:r>
        <w:rPr>
          <w:rFonts w:hint="eastAsia" w:eastAsia="仿宋_GB2312"/>
          <w:szCs w:val="32"/>
        </w:rPr>
        <w:t>加强气象—环境—健康交叉创新技术研究，开展气象因素诱发疾病风险的预报预警工作，研发气象因素诱发健康风险预报预警技术。建立“气象</w:t>
      </w:r>
      <w:r>
        <w:rPr>
          <w:rFonts w:hint="eastAsia" w:ascii="仿宋_GB2312" w:hAnsi="仿宋_GB2312" w:eastAsia="仿宋_GB2312" w:cs="仿宋_GB2312"/>
          <w:szCs w:val="32"/>
        </w:rPr>
        <w:t>+</w:t>
      </w:r>
      <w:r>
        <w:rPr>
          <w:rFonts w:hint="eastAsia" w:eastAsia="仿宋_GB2312"/>
          <w:szCs w:val="32"/>
        </w:rPr>
        <w:t>健康”多疾病风险预警业务体系。充分发挥气象中医药研究中心作用，打造“气象</w:t>
      </w:r>
      <w:r>
        <w:rPr>
          <w:rFonts w:hint="eastAsia" w:ascii="仿宋_GB2312" w:hAnsi="仿宋_GB2312" w:eastAsia="仿宋_GB2312" w:cs="仿宋_GB2312"/>
          <w:szCs w:val="32"/>
        </w:rPr>
        <w:t>+中</w:t>
      </w:r>
      <w:r>
        <w:rPr>
          <w:rFonts w:hint="eastAsia" w:eastAsia="仿宋_GB2312"/>
          <w:szCs w:val="32"/>
        </w:rPr>
        <w:t>医药健康养生”健康气象服务新业态。推广针对慢性病、儿童呼吸系统疾病的气象健康风险预警服务。通过“气象预</w:t>
      </w:r>
      <w:r>
        <w:rPr>
          <w:rFonts w:hint="eastAsia" w:ascii="仿宋_GB2312" w:hAnsi="仿宋_GB2312" w:eastAsia="仿宋_GB2312" w:cs="仿宋_GB2312"/>
          <w:szCs w:val="32"/>
        </w:rPr>
        <w:t>警+健</w:t>
      </w:r>
      <w:r>
        <w:rPr>
          <w:rFonts w:hint="eastAsia" w:eastAsia="仿宋_GB2312"/>
          <w:szCs w:val="32"/>
        </w:rPr>
        <w:t>康科普”双轮驱动，提升公众健康认知及疾病预防能力。（</w:t>
      </w:r>
      <w:r>
        <w:rPr>
          <w:rFonts w:hint="eastAsia" w:ascii="楷体_GB2312" w:hAnsi="楷体_GB2312" w:eastAsia="楷体_GB2312" w:cs="楷体_GB2312"/>
          <w:szCs w:val="32"/>
        </w:rPr>
        <w:t>市气象局、市卫生健康委、市疾控局按职责分工负责）</w:t>
      </w:r>
    </w:p>
    <w:p>
      <w:pPr>
        <w:pStyle w:val="2"/>
        <w:ind w:firstLine="624" w:firstLineChars="200"/>
        <w:rPr>
          <w:rFonts w:ascii="黑体" w:hAnsi="黑体" w:eastAsia="黑体" w:cs="黑体"/>
          <w:szCs w:val="32"/>
        </w:rPr>
      </w:pPr>
      <w:r>
        <w:rPr>
          <w:rFonts w:hint="eastAsia" w:ascii="黑体" w:hAnsi="黑体" w:eastAsia="黑体" w:cs="黑体"/>
          <w:szCs w:val="32"/>
        </w:rPr>
        <w:t>七、强化生态文明气象支撑</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（十八）提升生态气象服务能力。</w:t>
      </w:r>
      <w:r>
        <w:rPr>
          <w:rFonts w:hint="eastAsia" w:eastAsia="仿宋_GB2312"/>
          <w:szCs w:val="32"/>
        </w:rPr>
        <w:t>强化高光谱遥感技术应用，实现生态系统健康状况、大气环境状况实时监测。研发森林、湿地、大气环境等生态气象指数，动态评估气候变化对生态系统的影响。加强长时间序列地表温度、精细化植被指数等卫星遥感产品的应用。建立气候生态产品价值核算规范和指标体系，开展气候生态产品价值评估服务。（</w:t>
      </w:r>
      <w:r>
        <w:rPr>
          <w:rFonts w:hint="eastAsia" w:ascii="楷体_GB2312" w:hAnsi="楷体_GB2312" w:eastAsia="楷体_GB2312" w:cs="楷体_GB2312"/>
          <w:szCs w:val="32"/>
        </w:rPr>
        <w:t>市气象局、市生态环境局按职责分工负责）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（十九）提升大气环境保障能力。</w:t>
      </w:r>
      <w:r>
        <w:rPr>
          <w:rFonts w:hint="eastAsia" w:eastAsia="仿宋_GB2312"/>
          <w:szCs w:val="32"/>
        </w:rPr>
        <w:t>健全重污染天气联合会商、信息联合报送工作机制，强化雾、霾预警与重污染天气预警衔接，加强重污染天气应对部门协同联动。提升沙尘、臭氧（O</w:t>
      </w:r>
      <w:r>
        <w:rPr>
          <w:rFonts w:hint="eastAsia" w:eastAsia="仿宋_GB2312"/>
          <w:szCs w:val="32"/>
          <w:vertAlign w:val="subscript"/>
        </w:rPr>
        <w:t>3</w:t>
      </w:r>
      <w:r>
        <w:rPr>
          <w:rFonts w:hint="eastAsia" w:eastAsia="仿宋_GB2312"/>
          <w:szCs w:val="32"/>
        </w:rPr>
        <w:t>）预报预警能力。加强细颗粒物（PM</w:t>
      </w:r>
      <w:r>
        <w:rPr>
          <w:rFonts w:hint="eastAsia" w:eastAsia="仿宋_GB2312"/>
          <w:szCs w:val="32"/>
          <w:vertAlign w:val="subscript"/>
        </w:rPr>
        <w:t>2.5</w:t>
      </w:r>
      <w:r>
        <w:rPr>
          <w:rFonts w:hint="eastAsia" w:eastAsia="仿宋_GB2312"/>
          <w:szCs w:val="32"/>
        </w:rPr>
        <w:t>）和臭氧（O</w:t>
      </w:r>
      <w:r>
        <w:rPr>
          <w:rFonts w:hint="eastAsia" w:eastAsia="仿宋_GB2312"/>
          <w:szCs w:val="32"/>
          <w:vertAlign w:val="subscript"/>
        </w:rPr>
        <w:t>3</w:t>
      </w:r>
      <w:r>
        <w:rPr>
          <w:rFonts w:hint="eastAsia" w:eastAsia="仿宋_GB2312"/>
          <w:szCs w:val="32"/>
        </w:rPr>
        <w:t>）区域输送分析，强化京津冀地区气象条件对空气质量影响评估。（</w:t>
      </w:r>
      <w:r>
        <w:rPr>
          <w:rFonts w:hint="eastAsia" w:ascii="楷体_GB2312" w:hAnsi="楷体_GB2312" w:eastAsia="楷体_GB2312" w:cs="楷体_GB2312"/>
          <w:szCs w:val="32"/>
        </w:rPr>
        <w:t>市生态环境局、市气象局按职责分工负责）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（二十）推动人工影响天气作业转型。</w:t>
      </w:r>
      <w:r>
        <w:rPr>
          <w:rFonts w:hint="eastAsia" w:eastAsia="仿宋_GB2312"/>
          <w:szCs w:val="32"/>
        </w:rPr>
        <w:t>聚焦湿地自然保护区、绿色生态屏障及地下水超采区需求，科学组织实施常态化人工影响天气作业，提升生态修复型人工影响天气作业能力。升级改造地面及高空作业装备，优化人工影响天气指挥调度系统，提升人工影响天气作业站点安全作业水平。深度融入华北区域人工影响天气联合作业机制，推动构建信息共享、力量统筹、优势互补的联合作业格局。</w:t>
      </w:r>
      <w:r>
        <w:rPr>
          <w:rFonts w:hint="eastAsia" w:ascii="楷体_GB2312" w:hAnsi="楷体_GB2312" w:eastAsia="楷体_GB2312" w:cs="楷体_GB2312"/>
          <w:szCs w:val="32"/>
        </w:rPr>
        <w:t>（市气象局负责）</w:t>
      </w:r>
    </w:p>
    <w:p>
      <w:pPr>
        <w:pStyle w:val="2"/>
        <w:ind w:firstLine="624" w:firstLineChars="200"/>
        <w:rPr>
          <w:rFonts w:ascii="黑体" w:hAnsi="黑体" w:eastAsia="黑体" w:cs="黑体"/>
          <w:szCs w:val="32"/>
        </w:rPr>
      </w:pPr>
      <w:r>
        <w:rPr>
          <w:rFonts w:hint="eastAsia" w:ascii="黑体" w:hAnsi="黑体" w:eastAsia="黑体" w:cs="黑体"/>
          <w:szCs w:val="32"/>
        </w:rPr>
        <w:t>八、完善气象事业发展统筹推进机制</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（二十一）加强气象人才队伍建设。</w:t>
      </w:r>
      <w:r>
        <w:rPr>
          <w:rFonts w:hint="eastAsia" w:eastAsia="仿宋_GB2312"/>
          <w:szCs w:val="32"/>
        </w:rPr>
        <w:t>强化气象人才源头培养和高校气象学科专业建设，持续将气象人才培训统筹纳入全市人才培训体系，重点在强对流预报、雷达研试、流域气象、海洋气象、健康气象、人工智能气象应用等领域引进、培养一流科技领军人才和创新团队。推动实施气象科技骨干人才海外培养项目，支持气象人才参与更多国际业务交流、培训。加强重点领域高层次人才培养，推荐优秀人才申报中国气象局气象高层次科技创新人才计划和天津市相关人才项目。</w:t>
      </w:r>
      <w:r>
        <w:rPr>
          <w:rFonts w:hint="eastAsia" w:ascii="楷体_GB2312" w:hAnsi="楷体_GB2312" w:eastAsia="楷体_GB2312" w:cs="楷体_GB2312"/>
          <w:szCs w:val="32"/>
        </w:rPr>
        <w:t>（市气象局、市委组织部、市人社局、市教委、市科协按职责分工负责）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（二十二）建立健全法规制度。</w:t>
      </w:r>
      <w:r>
        <w:rPr>
          <w:rFonts w:hint="eastAsia" w:eastAsia="仿宋_GB2312"/>
          <w:szCs w:val="32"/>
        </w:rPr>
        <w:t>推动《天津市气象条例》修订和气象信息服务管理地方性法规立法工作。严格落实气象预报预警统一发布制度，建立多部门协同监管机制。组建天津市气象标准化技术委员会。</w:t>
      </w:r>
      <w:r>
        <w:rPr>
          <w:rFonts w:hint="eastAsia" w:ascii="楷体_GB2312" w:hAnsi="楷体_GB2312" w:eastAsia="楷体_GB2312" w:cs="楷体_GB2312"/>
          <w:szCs w:val="32"/>
        </w:rPr>
        <w:t>（市气象局、市司法局、市规划资源局、市生态环境局、市交通运输委、市水务局、市农业农村委、市应急管理局、市市场监管委按职责分工负责）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（二十三）拓展资金支持渠道。</w:t>
      </w:r>
      <w:r>
        <w:rPr>
          <w:rFonts w:hint="eastAsia" w:eastAsia="仿宋_GB2312"/>
          <w:szCs w:val="32"/>
        </w:rPr>
        <w:t>健全与气象领域财政事权和支出责任相适应的财政保障机制，积极争取气象领域中央政策资金支持。鼓励和引导社会资本依法依规通过合作模式参与气象应用技术研发和服务供给。</w:t>
      </w:r>
      <w:r>
        <w:rPr>
          <w:rFonts w:hint="eastAsia" w:ascii="楷体_GB2312" w:hAnsi="楷体_GB2312" w:eastAsia="楷体_GB2312" w:cs="楷体_GB2312"/>
          <w:szCs w:val="32"/>
        </w:rPr>
        <w:t>（市气象局、市发展改革委、市财政局，各区人民政府按职责分工负责）</w:t>
      </w:r>
    </w:p>
    <w:p>
      <w:pPr>
        <w:pStyle w:val="2"/>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（二十四）构建多元共治格局。</w:t>
      </w:r>
      <w:r>
        <w:rPr>
          <w:rFonts w:hint="eastAsia" w:eastAsia="仿宋_GB2312"/>
          <w:szCs w:val="32"/>
        </w:rPr>
        <w:t>深化部市合作共建，加快推动合作重点任务落地见效。建立多部门协同的气象行业统筹发展机制，强化项目建设政策保障和配套支持，着力研究解决存在的堵点难点问题，共同推动气象事业高质量发展。</w:t>
      </w:r>
      <w:r>
        <w:rPr>
          <w:rFonts w:hint="eastAsia" w:ascii="楷体_GB2312" w:hAnsi="楷体_GB2312" w:eastAsia="楷体_GB2312" w:cs="楷体_GB2312"/>
          <w:szCs w:val="32"/>
        </w:rPr>
        <w:t>（市气象局、市发展改革委、市教委、市科技局、市工业和信息化局、市司法局、市财政局、市规划资源局、市生态环境局、市城市管理委、市交通运输委、市水务局、市卫生健康委、市农业农村委、市应急管理局、市数据局、市疾控局、天津海事局，各区人民政府按职责分工负责）</w:t>
      </w:r>
    </w:p>
    <w:p>
      <w:pPr>
        <w:pStyle w:val="2"/>
        <w:rPr>
          <w:rFonts w:eastAsia="仿宋_GB2312"/>
          <w:szCs w:val="32"/>
        </w:rPr>
      </w:pPr>
    </w:p>
    <w:p>
      <w:pPr>
        <w:pStyle w:val="2"/>
        <w:rPr>
          <w:rFonts w:eastAsia="仿宋_GB2312"/>
          <w:szCs w:val="32"/>
        </w:rPr>
      </w:pPr>
    </w:p>
    <w:p>
      <w:pPr>
        <w:pStyle w:val="2"/>
        <w:rPr>
          <w:rFonts w:eastAsia="仿宋_GB2312"/>
          <w:szCs w:val="32"/>
        </w:rPr>
      </w:pPr>
    </w:p>
    <w:sectPr>
      <w:pgSz w:w="11907" w:h="16840"/>
      <w:pgMar w:top="2098" w:right="1474" w:bottom="1985" w:left="1588"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微软雅黑"/>
    <w:panose1 w:val="00000000000000000000"/>
    <w:charset w:val="00"/>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ind w:left="420" w:leftChars="200" w:right="420" w:rightChars="200"/>
      <w:jc w:val="center"/>
      <w:rPr>
        <w:rStyle w:val="10"/>
        <w:sz w:val="28"/>
      </w:rPr>
    </w:pPr>
    <w:r>
      <w:rPr>
        <w:rStyle w:val="10"/>
        <w:rFonts w:hint="eastAsia"/>
        <w:sz w:val="28"/>
      </w:rPr>
      <w:t>—</w:t>
    </w:r>
    <w:r>
      <w:rPr>
        <w:rStyle w:val="10"/>
        <w:sz w:val="28"/>
      </w:rPr>
      <w:t xml:space="preserve"> </w:t>
    </w:r>
    <w:r>
      <w:rPr>
        <w:sz w:val="28"/>
      </w:rPr>
      <w:fldChar w:fldCharType="begin"/>
    </w:r>
    <w:r>
      <w:rPr>
        <w:rStyle w:val="10"/>
        <w:sz w:val="28"/>
      </w:rPr>
      <w:instrText xml:space="preserve">PAGE  </w:instrText>
    </w:r>
    <w:r>
      <w:rPr>
        <w:sz w:val="28"/>
      </w:rPr>
      <w:fldChar w:fldCharType="separate"/>
    </w:r>
    <w:r>
      <w:rPr>
        <w:rStyle w:val="10"/>
        <w:sz w:val="28"/>
      </w:rPr>
      <w:t>11</w:t>
    </w:r>
    <w:r>
      <w:rPr>
        <w:sz w:val="28"/>
      </w:rPr>
      <w:fldChar w:fldCharType="end"/>
    </w:r>
    <w:r>
      <w:rPr>
        <w:rStyle w:val="10"/>
        <w:sz w:val="28"/>
      </w:rPr>
      <w:t xml:space="preserve"> </w:t>
    </w:r>
    <w:r>
      <w:rPr>
        <w:rStyle w:val="10"/>
        <w:rFonts w:hint="eastAsia"/>
        <w:sz w:val="28"/>
      </w:rPr>
      <w:t>—</w:t>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0"/>
      </w:rPr>
    </w:pPr>
    <w:r>
      <w:fldChar w:fldCharType="begin"/>
    </w:r>
    <w:r>
      <w:rPr>
        <w:rStyle w:val="10"/>
      </w:rPr>
      <w:instrText xml:space="preserve">PAGE  </w:instrText>
    </w:r>
    <w: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gwMzk0YTNmOTEwYzJjM2U3NzNmMTczYWNhOTU0MmYifQ=="/>
  </w:docVars>
  <w:rsids>
    <w:rsidRoot w:val="0052186E"/>
    <w:rsid w:val="000007A8"/>
    <w:rsid w:val="0000163D"/>
    <w:rsid w:val="000044C7"/>
    <w:rsid w:val="000068A5"/>
    <w:rsid w:val="000078D4"/>
    <w:rsid w:val="0003738B"/>
    <w:rsid w:val="000602FB"/>
    <w:rsid w:val="00071623"/>
    <w:rsid w:val="000B16A1"/>
    <w:rsid w:val="000E2D13"/>
    <w:rsid w:val="00113B4A"/>
    <w:rsid w:val="00143BAA"/>
    <w:rsid w:val="001508FC"/>
    <w:rsid w:val="001710DD"/>
    <w:rsid w:val="00184D7D"/>
    <w:rsid w:val="001C08E9"/>
    <w:rsid w:val="001C2AA4"/>
    <w:rsid w:val="001C3B43"/>
    <w:rsid w:val="001C7BF2"/>
    <w:rsid w:val="001E0A0B"/>
    <w:rsid w:val="00220ECC"/>
    <w:rsid w:val="002B4F82"/>
    <w:rsid w:val="002E19E1"/>
    <w:rsid w:val="002E2783"/>
    <w:rsid w:val="002E5E1B"/>
    <w:rsid w:val="002F11DA"/>
    <w:rsid w:val="002F6A2E"/>
    <w:rsid w:val="00313C06"/>
    <w:rsid w:val="003241FC"/>
    <w:rsid w:val="00326547"/>
    <w:rsid w:val="00334EA9"/>
    <w:rsid w:val="00344D03"/>
    <w:rsid w:val="003454CF"/>
    <w:rsid w:val="00346591"/>
    <w:rsid w:val="0036674E"/>
    <w:rsid w:val="003811AD"/>
    <w:rsid w:val="003A0B3A"/>
    <w:rsid w:val="003B4936"/>
    <w:rsid w:val="003C165B"/>
    <w:rsid w:val="003C2B8E"/>
    <w:rsid w:val="003D411B"/>
    <w:rsid w:val="0040798F"/>
    <w:rsid w:val="00423112"/>
    <w:rsid w:val="004545BA"/>
    <w:rsid w:val="00470219"/>
    <w:rsid w:val="00475655"/>
    <w:rsid w:val="00475EA0"/>
    <w:rsid w:val="004D08EE"/>
    <w:rsid w:val="0052186E"/>
    <w:rsid w:val="00525D99"/>
    <w:rsid w:val="00525FE0"/>
    <w:rsid w:val="005324EE"/>
    <w:rsid w:val="00572ABD"/>
    <w:rsid w:val="00573751"/>
    <w:rsid w:val="00577ED3"/>
    <w:rsid w:val="00584626"/>
    <w:rsid w:val="005A520C"/>
    <w:rsid w:val="005B6D37"/>
    <w:rsid w:val="005C2FB4"/>
    <w:rsid w:val="005D009B"/>
    <w:rsid w:val="00600D6F"/>
    <w:rsid w:val="006041C3"/>
    <w:rsid w:val="006060B6"/>
    <w:rsid w:val="00643EF8"/>
    <w:rsid w:val="00644B2F"/>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46D11"/>
    <w:rsid w:val="0085493B"/>
    <w:rsid w:val="00873B40"/>
    <w:rsid w:val="008914FD"/>
    <w:rsid w:val="008D6530"/>
    <w:rsid w:val="008E29A0"/>
    <w:rsid w:val="008F2448"/>
    <w:rsid w:val="00912EC7"/>
    <w:rsid w:val="00942266"/>
    <w:rsid w:val="00963484"/>
    <w:rsid w:val="00985667"/>
    <w:rsid w:val="009920BF"/>
    <w:rsid w:val="0099656B"/>
    <w:rsid w:val="009A4810"/>
    <w:rsid w:val="009B239B"/>
    <w:rsid w:val="009C102D"/>
    <w:rsid w:val="009C116B"/>
    <w:rsid w:val="009F48F9"/>
    <w:rsid w:val="009F78DD"/>
    <w:rsid w:val="009F7972"/>
    <w:rsid w:val="00A36258"/>
    <w:rsid w:val="00A91468"/>
    <w:rsid w:val="00A97B33"/>
    <w:rsid w:val="00AA3F8A"/>
    <w:rsid w:val="00AA64D3"/>
    <w:rsid w:val="00AC3CF4"/>
    <w:rsid w:val="00AE395D"/>
    <w:rsid w:val="00AE4B3F"/>
    <w:rsid w:val="00AE656A"/>
    <w:rsid w:val="00B123FE"/>
    <w:rsid w:val="00B136FA"/>
    <w:rsid w:val="00B63BF2"/>
    <w:rsid w:val="00B667B5"/>
    <w:rsid w:val="00B70BCD"/>
    <w:rsid w:val="00B770E9"/>
    <w:rsid w:val="00B878CD"/>
    <w:rsid w:val="00B93140"/>
    <w:rsid w:val="00BA35B4"/>
    <w:rsid w:val="00BC6067"/>
    <w:rsid w:val="00C070BB"/>
    <w:rsid w:val="00C22CEC"/>
    <w:rsid w:val="00C2526A"/>
    <w:rsid w:val="00C3415A"/>
    <w:rsid w:val="00C635AC"/>
    <w:rsid w:val="00CC42BE"/>
    <w:rsid w:val="00CE2267"/>
    <w:rsid w:val="00CE76C4"/>
    <w:rsid w:val="00D000FF"/>
    <w:rsid w:val="00D173C2"/>
    <w:rsid w:val="00D40E94"/>
    <w:rsid w:val="00D43624"/>
    <w:rsid w:val="00D44E9D"/>
    <w:rsid w:val="00D60477"/>
    <w:rsid w:val="00D64A77"/>
    <w:rsid w:val="00D8625C"/>
    <w:rsid w:val="00DB7FA1"/>
    <w:rsid w:val="00DD768C"/>
    <w:rsid w:val="00E17D52"/>
    <w:rsid w:val="00E2093B"/>
    <w:rsid w:val="00E31F62"/>
    <w:rsid w:val="00E65AB1"/>
    <w:rsid w:val="00E67E23"/>
    <w:rsid w:val="00E74110"/>
    <w:rsid w:val="00E919B1"/>
    <w:rsid w:val="00EA77DD"/>
    <w:rsid w:val="00EB3529"/>
    <w:rsid w:val="00F06028"/>
    <w:rsid w:val="00F13242"/>
    <w:rsid w:val="00F23CEA"/>
    <w:rsid w:val="00F35D3F"/>
    <w:rsid w:val="00F410DE"/>
    <w:rsid w:val="00F61E7C"/>
    <w:rsid w:val="00FB20E7"/>
    <w:rsid w:val="00FC7C67"/>
    <w:rsid w:val="00FE29CA"/>
    <w:rsid w:val="04DD09E0"/>
    <w:rsid w:val="0FFFD8AD"/>
    <w:rsid w:val="1DFFFFD7"/>
    <w:rsid w:val="1EBD1CDF"/>
    <w:rsid w:val="29F79B4C"/>
    <w:rsid w:val="2FDE765F"/>
    <w:rsid w:val="36F64ED5"/>
    <w:rsid w:val="379F7DE0"/>
    <w:rsid w:val="37EC7614"/>
    <w:rsid w:val="3AE63175"/>
    <w:rsid w:val="3EE5AF37"/>
    <w:rsid w:val="3F7FD26D"/>
    <w:rsid w:val="3FDD6FAE"/>
    <w:rsid w:val="3FF70A3B"/>
    <w:rsid w:val="3FFB4118"/>
    <w:rsid w:val="3FFEA64F"/>
    <w:rsid w:val="3FFF4D59"/>
    <w:rsid w:val="4BCEDF44"/>
    <w:rsid w:val="502026AF"/>
    <w:rsid w:val="56B6A5A9"/>
    <w:rsid w:val="573CCFDD"/>
    <w:rsid w:val="5B95BFB8"/>
    <w:rsid w:val="5EFF8465"/>
    <w:rsid w:val="636661E7"/>
    <w:rsid w:val="67EBA099"/>
    <w:rsid w:val="67EF89D4"/>
    <w:rsid w:val="6EEE627F"/>
    <w:rsid w:val="6FF9EA9A"/>
    <w:rsid w:val="6FFF812E"/>
    <w:rsid w:val="6FFFCCC4"/>
    <w:rsid w:val="74F5C0E9"/>
    <w:rsid w:val="75FFD392"/>
    <w:rsid w:val="76DFF1BE"/>
    <w:rsid w:val="77CD9A11"/>
    <w:rsid w:val="79E72F85"/>
    <w:rsid w:val="7AF14D76"/>
    <w:rsid w:val="7AFEF08A"/>
    <w:rsid w:val="7BBF961C"/>
    <w:rsid w:val="7CFF5056"/>
    <w:rsid w:val="7E3F2FAC"/>
    <w:rsid w:val="7E9F55B2"/>
    <w:rsid w:val="7EFD5157"/>
    <w:rsid w:val="7FAD2DC3"/>
    <w:rsid w:val="7FFA306B"/>
    <w:rsid w:val="7FFBDC05"/>
    <w:rsid w:val="7FFEF9E0"/>
    <w:rsid w:val="89DF3862"/>
    <w:rsid w:val="8F66BA84"/>
    <w:rsid w:val="973E40AC"/>
    <w:rsid w:val="A37E3A72"/>
    <w:rsid w:val="A3DDE2FD"/>
    <w:rsid w:val="AF5ECD4F"/>
    <w:rsid w:val="BB3FC0B0"/>
    <w:rsid w:val="BF3F7820"/>
    <w:rsid w:val="BF4F66FB"/>
    <w:rsid w:val="BF7F705B"/>
    <w:rsid w:val="BFFF0E5F"/>
    <w:rsid w:val="D67C42A4"/>
    <w:rsid w:val="DEAE61B8"/>
    <w:rsid w:val="DFBB7BF0"/>
    <w:rsid w:val="DFEF46B6"/>
    <w:rsid w:val="E2FF1B3E"/>
    <w:rsid w:val="E9BD9F45"/>
    <w:rsid w:val="EEBF3DE0"/>
    <w:rsid w:val="EECF1214"/>
    <w:rsid w:val="EF9E9824"/>
    <w:rsid w:val="EFAB9FB1"/>
    <w:rsid w:val="EFBBADDE"/>
    <w:rsid w:val="F26DDE0A"/>
    <w:rsid w:val="F6AF7489"/>
    <w:rsid w:val="FA87379A"/>
    <w:rsid w:val="FB7B48F7"/>
    <w:rsid w:val="FB8756D5"/>
    <w:rsid w:val="FBE481C7"/>
    <w:rsid w:val="FEFF4BB1"/>
    <w:rsid w:val="FFB15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link w:val="12"/>
    <w:uiPriority w:val="0"/>
    <w:rPr>
      <w:rFonts w:eastAsia="文星仿宋"/>
      <w:sz w:val="32"/>
    </w:rPr>
  </w:style>
  <w:style w:type="paragraph" w:styleId="3">
    <w:name w:val="Body Text Indent"/>
    <w:basedOn w:val="1"/>
    <w:qFormat/>
    <w:uiPriority w:val="0"/>
    <w:pPr>
      <w:ind w:firstLine="720" w:firstLineChars="225"/>
    </w:pPr>
    <w:rPr>
      <w:sz w:val="32"/>
      <w:szCs w:val="20"/>
    </w:rPr>
  </w:style>
  <w:style w:type="paragraph" w:styleId="4">
    <w:name w:val="Date"/>
    <w:basedOn w:val="1"/>
    <w:next w:val="1"/>
    <w:uiPriority w:val="0"/>
    <w:pPr>
      <w:ind w:left="100" w:leftChars="2500"/>
    </w:p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uiPriority w:val="0"/>
  </w:style>
  <w:style w:type="character" w:styleId="11">
    <w:name w:val="Hyperlink"/>
    <w:uiPriority w:val="0"/>
    <w:rPr>
      <w:color w:val="0000FF"/>
      <w:u w:val="single"/>
    </w:rPr>
  </w:style>
  <w:style w:type="character" w:customStyle="1" w:styleId="12">
    <w:name w:val="正文文本 Char"/>
    <w:link w:val="2"/>
    <w:uiPriority w:val="0"/>
    <w:rPr>
      <w:rFonts w:eastAsia="文星仿宋"/>
      <w:kern w:val="2"/>
      <w:sz w:val="32"/>
      <w:szCs w:val="24"/>
    </w:rPr>
  </w:style>
  <w:style w:type="paragraph" w:customStyle="1" w:styleId="13">
    <w:name w:val="_Style 11"/>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11</Pages>
  <Words>838</Words>
  <Characters>4778</Characters>
  <Lines>39</Lines>
  <Paragraphs>11</Paragraphs>
  <TotalTime>0</TotalTime>
  <ScaleCrop>false</ScaleCrop>
  <LinksUpToDate>false</LinksUpToDate>
  <CharactersWithSpaces>5605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2014-06-16T08:51:00Z</dcterms:created>
  <dc:creator>jsj</dc:creator>
  <cp:lastModifiedBy> Chloe堂姐</cp:lastModifiedBy>
  <cp:lastPrinted>2026-08-11T07:53:00Z</cp:lastPrinted>
  <dcterms:modified xsi:type="dcterms:W3CDTF">2026-08-14T00:52:09Z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8A5509565F43B0122A92726AB947A9FB</vt:lpwstr>
  </property>
</Properties>
</file>