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0E504">
      <w:pPr>
        <w:pStyle w:val="2"/>
        <w:jc w:val="center"/>
        <w:rPr>
          <w:rFonts w:eastAsia="仿宋_GB2312"/>
          <w:szCs w:val="32"/>
        </w:rPr>
      </w:pPr>
    </w:p>
    <w:p w14:paraId="0DC8D7DF">
      <w:pPr>
        <w:pStyle w:val="2"/>
        <w:snapToGrid w:val="0"/>
        <w:jc w:val="center"/>
        <w:rPr>
          <w:rStyle w:val="10"/>
          <w:rFonts w:hint="eastAsia" w:ascii="方正小标宋简体" w:hAnsi="方正小标宋_GBK" w:eastAsia="方正小标宋简体" w:cs="方正小标宋_GBK"/>
          <w:b w:val="0"/>
          <w:bCs w:val="0"/>
          <w:color w:val="auto"/>
          <w:sz w:val="44"/>
          <w:szCs w:val="44"/>
          <w:u w:val="none"/>
        </w:rPr>
      </w:pPr>
      <w:r>
        <w:rPr>
          <w:rStyle w:val="10"/>
          <w:rFonts w:hint="eastAsia" w:ascii="方正小标宋简体" w:hAnsi="方正小标宋_GBK" w:eastAsia="方正小标宋简体" w:cs="方正小标宋_GBK"/>
          <w:b w:val="0"/>
          <w:bCs w:val="0"/>
          <w:color w:val="auto"/>
          <w:sz w:val="44"/>
          <w:szCs w:val="44"/>
          <w:u w:val="none"/>
        </w:rPr>
        <w:t>天津市人民政府办公厅关于印发2026年</w:t>
      </w:r>
    </w:p>
    <w:p w14:paraId="56AB052B">
      <w:pPr>
        <w:pStyle w:val="2"/>
        <w:snapToGrid w:val="0"/>
        <w:jc w:val="center"/>
        <w:rPr>
          <w:rStyle w:val="10"/>
          <w:rFonts w:hint="eastAsia" w:ascii="方正小标宋简体" w:hAnsi="方正小标宋_GBK" w:eastAsia="方正小标宋简体" w:cs="方正小标宋_GBK"/>
          <w:b w:val="0"/>
          <w:bCs w:val="0"/>
          <w:color w:val="auto"/>
          <w:sz w:val="44"/>
          <w:szCs w:val="44"/>
          <w:u w:val="none"/>
        </w:rPr>
      </w:pPr>
      <w:r>
        <w:rPr>
          <w:rStyle w:val="10"/>
          <w:rFonts w:hint="eastAsia" w:ascii="方正小标宋简体" w:hAnsi="方正小标宋_GBK" w:eastAsia="方正小标宋简体" w:cs="方正小标宋_GBK"/>
          <w:b w:val="0"/>
          <w:bCs w:val="0"/>
          <w:color w:val="auto"/>
          <w:sz w:val="44"/>
          <w:szCs w:val="44"/>
          <w:u w:val="none"/>
        </w:rPr>
        <w:t>天津市推进营商环境提质升级行动计划的通知</w:t>
      </w:r>
    </w:p>
    <w:p w14:paraId="02CDC289">
      <w:pPr>
        <w:pStyle w:val="2"/>
        <w:rPr>
          <w:rFonts w:ascii="仿宋_GB2312" w:hAnsi="仿宋_GB2312" w:eastAsia="仿宋_GB2312" w:cs="仿宋_GB2312"/>
          <w:szCs w:val="32"/>
        </w:rPr>
      </w:pPr>
    </w:p>
    <w:p w14:paraId="130DCDF1">
      <w:pPr>
        <w:pStyle w:val="2"/>
        <w:rPr>
          <w:rFonts w:ascii="仿宋_GB2312" w:eastAsia="仿宋_GB2312"/>
        </w:rPr>
      </w:pPr>
      <w:r>
        <w:rPr>
          <w:rFonts w:hint="eastAsia" w:ascii="仿宋_GB2312" w:eastAsia="仿宋_GB2312"/>
        </w:rPr>
        <w:t>各区人民政府，市政府有关委、办、局：</w:t>
      </w:r>
    </w:p>
    <w:p w14:paraId="4A54F100">
      <w:pPr>
        <w:pStyle w:val="2"/>
        <w:ind w:firstLine="624" w:firstLineChars="200"/>
        <w:rPr>
          <w:rFonts w:hint="eastAsia" w:ascii="仿宋_GB2312" w:eastAsia="仿宋_GB2312"/>
        </w:rPr>
      </w:pPr>
      <w:r>
        <w:rPr>
          <w:rFonts w:hint="eastAsia" w:ascii="仿宋_GB2312" w:eastAsia="仿宋_GB2312"/>
        </w:rPr>
        <w:t>经市人民政府同意，现将《</w:t>
      </w:r>
      <w:r>
        <w:rPr>
          <w:rFonts w:eastAsia="仿宋_GB2312"/>
        </w:rPr>
        <w:t>2026</w:t>
      </w:r>
      <w:r>
        <w:rPr>
          <w:rFonts w:hint="eastAsia" w:ascii="仿宋_GB2312" w:eastAsia="仿宋_GB2312"/>
        </w:rPr>
        <w:t>年天津市推进营商环境提质升级行动计划》印发给你们，请照此执行。</w:t>
      </w:r>
    </w:p>
    <w:p w14:paraId="6329B4EE">
      <w:pPr>
        <w:pStyle w:val="2"/>
        <w:ind w:firstLine="624" w:firstLineChars="200"/>
        <w:rPr>
          <w:rFonts w:hint="eastAsia" w:ascii="仿宋_GB2312" w:eastAsia="仿宋_GB2312"/>
        </w:rPr>
      </w:pPr>
      <w:bookmarkStart w:id="0" w:name="_GoBack"/>
      <w:bookmarkEnd w:id="0"/>
    </w:p>
    <w:p w14:paraId="35C391D7">
      <w:pPr>
        <w:pStyle w:val="2"/>
        <w:keepNext w:val="0"/>
        <w:keepLines w:val="0"/>
        <w:pageBreakBefore w:val="0"/>
        <w:widowControl w:val="0"/>
        <w:kinsoku/>
        <w:overflowPunct/>
        <w:topLinePunct w:val="0"/>
        <w:autoSpaceDE/>
        <w:autoSpaceDN/>
        <w:bidi w:val="0"/>
        <w:adjustRightInd/>
        <w:snapToGrid/>
        <w:spacing w:line="360" w:lineRule="auto"/>
        <w:jc w:val="left"/>
        <w:textAlignment w:val="auto"/>
        <w:rPr>
          <w:rFonts w:hint="default" w:ascii="Times New Roman" w:hAnsi="Times New Roman" w:eastAsia="仿宋_GB2312"/>
          <w:szCs w:val="32"/>
          <w:lang w:val="en-US" w:eastAsia="zh-CN"/>
        </w:rPr>
      </w:pPr>
      <w:r>
        <w:rPr>
          <w:rFonts w:hint="eastAsia" w:ascii="Times New Roman" w:hAnsi="Times New Roman" w:eastAsia="仿宋_GB2312"/>
          <w:szCs w:val="32"/>
          <w:lang w:val="en-US" w:eastAsia="zh-CN"/>
        </w:rPr>
        <w:t xml:space="preserve"> </w:t>
      </w:r>
      <w:r>
        <w:rPr>
          <w:rFonts w:hint="eastAsia" w:eastAsia="仿宋_GB2312"/>
          <w:szCs w:val="32"/>
          <w:lang w:val="en-US" w:eastAsia="zh-CN"/>
        </w:rPr>
        <w:t xml:space="preserve">                             </w:t>
      </w:r>
      <w:r>
        <w:rPr>
          <w:rFonts w:hint="eastAsia" w:ascii="Times New Roman" w:hAnsi="Times New Roman" w:eastAsia="仿宋_GB2312"/>
          <w:szCs w:val="32"/>
          <w:lang w:val="en-US" w:eastAsia="zh-CN"/>
        </w:rPr>
        <w:t>天津市人民政府办公厅</w:t>
      </w:r>
    </w:p>
    <w:p w14:paraId="37D5EEAE">
      <w:pPr>
        <w:pStyle w:val="2"/>
        <w:wordWrap w:val="0"/>
        <w:jc w:val="right"/>
        <w:rPr>
          <w:rFonts w:eastAsia="仿宋_GB2312"/>
          <w:szCs w:val="32"/>
        </w:rPr>
      </w:pPr>
      <w:r>
        <w:rPr>
          <w:rFonts w:eastAsia="仿宋_GB2312"/>
          <w:szCs w:val="32"/>
        </w:rPr>
        <w:t>2026</w:t>
      </w:r>
      <w:r>
        <w:rPr>
          <w:rFonts w:hint="eastAsia" w:eastAsia="仿宋_GB2312"/>
          <w:szCs w:val="32"/>
        </w:rPr>
        <w:t>年</w:t>
      </w:r>
      <w:r>
        <w:rPr>
          <w:rFonts w:eastAsia="仿宋_GB2312"/>
          <w:szCs w:val="32"/>
        </w:rPr>
        <w:t>7</w:t>
      </w:r>
      <w:r>
        <w:rPr>
          <w:rFonts w:hint="eastAsia" w:eastAsia="仿宋_GB2312"/>
          <w:szCs w:val="32"/>
        </w:rPr>
        <w:t>月</w:t>
      </w:r>
      <w:r>
        <w:rPr>
          <w:rFonts w:eastAsia="仿宋_GB2312"/>
          <w:szCs w:val="32"/>
        </w:rPr>
        <w:t>24</w:t>
      </w:r>
      <w:r>
        <w:rPr>
          <w:rFonts w:hint="eastAsia" w:eastAsia="仿宋_GB2312"/>
          <w:szCs w:val="32"/>
        </w:rPr>
        <w:t xml:space="preserve">日        </w:t>
      </w:r>
    </w:p>
    <w:p w14:paraId="520B9B78">
      <w:pPr>
        <w:pStyle w:val="2"/>
        <w:keepNext w:val="0"/>
        <w:keepLines w:val="0"/>
        <w:pageBreakBefore w:val="0"/>
        <w:widowControl w:val="0"/>
        <w:kinsoku/>
        <w:overflowPunct/>
        <w:topLinePunct w:val="0"/>
        <w:autoSpaceDE/>
        <w:autoSpaceDN/>
        <w:bidi w:val="0"/>
        <w:adjustRightInd/>
        <w:snapToGrid/>
        <w:spacing w:line="360" w:lineRule="auto"/>
        <w:jc w:val="both"/>
        <w:textAlignment w:val="auto"/>
        <w:rPr>
          <w:rStyle w:val="10"/>
          <w:rFonts w:hint="eastAsia" w:ascii="方正小标宋简体" w:hAnsi="方正小标宋_GBK" w:eastAsia="方正小标宋简体" w:cs="方正小标宋_GBK"/>
          <w:color w:val="auto"/>
          <w:kern w:val="2"/>
          <w:sz w:val="44"/>
          <w:szCs w:val="44"/>
          <w:u w:val="none"/>
          <w:lang w:val="en" w:eastAsia="zh-CN" w:bidi="ar-SA"/>
        </w:rPr>
      </w:pPr>
      <w:r>
        <w:rPr>
          <w:rFonts w:hint="eastAsia" w:eastAsia="仿宋_GB2312"/>
          <w:szCs w:val="32"/>
        </w:rPr>
        <w:t xml:space="preserve">          （此件主动公开）</w:t>
      </w:r>
      <w:r>
        <w:rPr>
          <w:rFonts w:hint="eastAsia" w:eastAsia="仿宋_GB2312"/>
          <w:szCs w:val="32"/>
        </w:rPr>
        <w:br w:type="page"/>
      </w:r>
    </w:p>
    <w:p w14:paraId="55892255">
      <w:pPr>
        <w:pStyle w:val="2"/>
        <w:snapToGrid w:val="0"/>
        <w:jc w:val="center"/>
        <w:rPr>
          <w:rStyle w:val="10"/>
          <w:rFonts w:hint="eastAsia" w:ascii="方正小标宋简体" w:hAnsi="方正小标宋_GBK" w:eastAsia="方正小标宋简体" w:cs="方正小标宋_GBK"/>
          <w:color w:val="auto"/>
          <w:kern w:val="2"/>
          <w:sz w:val="44"/>
          <w:szCs w:val="44"/>
          <w:u w:val="none"/>
          <w:lang w:val="en" w:eastAsia="zh-CN" w:bidi="ar-SA"/>
        </w:rPr>
      </w:pPr>
      <w:r>
        <w:rPr>
          <w:rStyle w:val="10"/>
          <w:rFonts w:hint="eastAsia" w:ascii="方正小标宋简体" w:hAnsi="方正小标宋_GBK" w:eastAsia="方正小标宋简体" w:cs="方正小标宋_GBK"/>
          <w:color w:val="auto"/>
          <w:kern w:val="2"/>
          <w:sz w:val="44"/>
          <w:szCs w:val="44"/>
          <w:u w:val="none"/>
          <w:lang w:val="en" w:eastAsia="zh-CN" w:bidi="ar-SA"/>
        </w:rPr>
        <w:t>2026年天津市推进营商环境</w:t>
      </w:r>
    </w:p>
    <w:p w14:paraId="0173E59A">
      <w:pPr>
        <w:pStyle w:val="2"/>
        <w:snapToGrid w:val="0"/>
        <w:jc w:val="center"/>
        <w:rPr>
          <w:rStyle w:val="10"/>
          <w:rFonts w:hint="eastAsia" w:ascii="方正小标宋简体" w:hAnsi="方正小标宋_GBK" w:eastAsia="方正小标宋简体" w:cs="方正小标宋_GBK"/>
          <w:color w:val="auto"/>
          <w:kern w:val="2"/>
          <w:sz w:val="44"/>
          <w:szCs w:val="44"/>
          <w:u w:val="none"/>
          <w:lang w:val="en" w:eastAsia="zh-CN" w:bidi="ar-SA"/>
        </w:rPr>
      </w:pPr>
      <w:r>
        <w:rPr>
          <w:rStyle w:val="10"/>
          <w:rFonts w:hint="eastAsia" w:ascii="方正小标宋简体" w:hAnsi="方正小标宋_GBK" w:eastAsia="方正小标宋简体" w:cs="方正小标宋_GBK"/>
          <w:color w:val="auto"/>
          <w:kern w:val="2"/>
          <w:sz w:val="44"/>
          <w:szCs w:val="44"/>
          <w:u w:val="none"/>
          <w:lang w:val="en" w:eastAsia="zh-CN" w:bidi="ar-SA"/>
        </w:rPr>
        <w:t>提质升级行动计划</w:t>
      </w:r>
    </w:p>
    <w:p w14:paraId="58A64872">
      <w:pPr>
        <w:pStyle w:val="2"/>
        <w:snapToGrid w:val="0"/>
        <w:jc w:val="center"/>
        <w:rPr>
          <w:rStyle w:val="10"/>
          <w:rFonts w:ascii="仿宋_GB2312" w:hAnsi="仿宋_GB2312" w:eastAsia="仿宋_GB2312" w:cs="仿宋_GB2312"/>
          <w:color w:val="auto"/>
          <w:szCs w:val="32"/>
          <w:u w:val="none"/>
        </w:rPr>
      </w:pPr>
    </w:p>
    <w:p w14:paraId="07A4D89A">
      <w:pPr>
        <w:pStyle w:val="2"/>
        <w:ind w:firstLine="612" w:firstLineChars="196"/>
        <w:rPr>
          <w:rFonts w:eastAsia="仿宋_GB2312"/>
          <w:szCs w:val="32"/>
        </w:rPr>
      </w:pPr>
      <w:r>
        <w:rPr>
          <w:rFonts w:hint="eastAsia" w:eastAsia="仿宋_GB2312"/>
          <w:szCs w:val="32"/>
        </w:rPr>
        <w:t>为深入贯彻党中央、国务院关于优化营商环境的决策部署，认真落实国务院办公厅2026年优化营商环境工作要点，迭代优化营商环境工作举措，加快打造市场化、法治化、国际化一流营商环境，制定本行动计划。</w:t>
      </w:r>
    </w:p>
    <w:p w14:paraId="3EB72780">
      <w:pPr>
        <w:pStyle w:val="2"/>
        <w:ind w:firstLine="612" w:firstLineChars="196"/>
        <w:rPr>
          <w:rFonts w:ascii="黑体" w:hAnsi="黑体" w:eastAsia="黑体" w:cs="黑体"/>
          <w:szCs w:val="32"/>
        </w:rPr>
      </w:pPr>
      <w:r>
        <w:rPr>
          <w:rFonts w:hint="eastAsia" w:ascii="黑体" w:hAnsi="黑体" w:eastAsia="黑体" w:cs="黑体"/>
          <w:szCs w:val="32"/>
        </w:rPr>
        <w:t>一、实施要素供给精准赋能行动</w:t>
      </w:r>
    </w:p>
    <w:p w14:paraId="0AE4DD1B">
      <w:pPr>
        <w:pStyle w:val="2"/>
        <w:ind w:firstLine="612" w:firstLineChars="196"/>
        <w:rPr>
          <w:rFonts w:eastAsia="仿宋_GB2312"/>
          <w:szCs w:val="32"/>
        </w:rPr>
      </w:pPr>
      <w:r>
        <w:rPr>
          <w:rFonts w:hint="eastAsia" w:ascii="楷体_GB2312" w:hAnsi="楷体_GB2312" w:eastAsia="楷体_GB2312" w:cs="楷体_GB2312"/>
          <w:szCs w:val="32"/>
        </w:rPr>
        <w:t>（一）提升企业融资便利度。</w:t>
      </w:r>
      <w:r>
        <w:rPr>
          <w:rFonts w:hint="eastAsia" w:eastAsia="仿宋_GB2312"/>
          <w:szCs w:val="32"/>
        </w:rPr>
        <w:t>发挥支持小微企业融资协调工作机制作用，全面摸排小微企业经营状况和融资需求，靶向施策开展金融服务，加大向民营、外贸、科技、消费等领域小微企业倾斜帮扶力度。实施小微企业首笔信用普惠贷款风险补偿政策，适度提高科技创新类小微企业首笔信用普惠贷款风险补偿比例。深入开展“金融走进”系列活动，搭建政银企沟通合作平台，通过针对性开展政策解读、项目推介、撮合对接等方式，打通金融服务“最后一公里”。（责任单位：市发展改革委、天津金融监管局、市地方金融管理局、市财政局、市科技局、中国人民银行天津市分行）</w:t>
      </w:r>
    </w:p>
    <w:p w14:paraId="52141930">
      <w:pPr>
        <w:pStyle w:val="2"/>
        <w:ind w:firstLine="612" w:firstLineChars="196"/>
        <w:rPr>
          <w:rFonts w:eastAsia="仿宋_GB2312"/>
          <w:szCs w:val="32"/>
        </w:rPr>
      </w:pPr>
      <w:r>
        <w:rPr>
          <w:rFonts w:hint="eastAsia" w:ascii="楷体_GB2312" w:hAnsi="楷体_GB2312" w:eastAsia="楷体_GB2312" w:cs="楷体_GB2312"/>
          <w:szCs w:val="32"/>
        </w:rPr>
        <w:t>（二）加强人才引育服务。</w:t>
      </w:r>
      <w:r>
        <w:rPr>
          <w:rFonts w:hint="eastAsia" w:eastAsia="仿宋_GB2312"/>
          <w:szCs w:val="32"/>
        </w:rPr>
        <w:t>深入实施“海河英才”行动计划，搭建重点用人单位引才平台，发布制造业新质生产力人才需求目录，强化高层次数字人才引进工作。发挥高等学校“校企联聘”、“双导师制”等引才用才机制作用，实现校企人才双向流动。实施“技能照亮前程”培训行动，聚焦先进制造、数字经济等领域，推行“岗位需求</w:t>
      </w:r>
      <w:r>
        <w:rPr>
          <w:rFonts w:hint="eastAsia" w:ascii="仿宋_GB2312" w:hAnsi="仿宋_GB2312" w:eastAsia="仿宋_GB2312" w:cs="仿宋_GB2312"/>
          <w:szCs w:val="32"/>
        </w:rPr>
        <w:t>+技能培训+技能评价+就</w:t>
      </w:r>
      <w:r>
        <w:rPr>
          <w:rFonts w:hint="eastAsia" w:eastAsia="仿宋_GB2312"/>
          <w:szCs w:val="32"/>
        </w:rPr>
        <w:t>业服务”四位一体项目化培训模式。（责任单位：市人社局、市教委）</w:t>
      </w:r>
    </w:p>
    <w:p w14:paraId="51D83409">
      <w:pPr>
        <w:pStyle w:val="2"/>
        <w:ind w:firstLine="612" w:firstLineChars="196"/>
        <w:rPr>
          <w:rFonts w:eastAsia="仿宋_GB2312"/>
          <w:szCs w:val="32"/>
          <w:highlight w:val="yellow"/>
        </w:rPr>
      </w:pPr>
      <w:r>
        <w:rPr>
          <w:rFonts w:hint="eastAsia" w:ascii="楷体_GB2312" w:hAnsi="楷体_GB2312" w:eastAsia="楷体_GB2312" w:cs="楷体_GB2312"/>
          <w:szCs w:val="32"/>
        </w:rPr>
        <w:t>（三）优化土地要素配置。</w:t>
      </w:r>
      <w:r>
        <w:rPr>
          <w:rFonts w:hint="eastAsia" w:eastAsia="仿宋_GB2312"/>
          <w:szCs w:val="32"/>
        </w:rPr>
        <w:t>提升土地要素市场化配置水平，实行用地清单制管理，全面实施工业用地“标准地”出让和弹性年期出让，优化土地出让价款缴纳标准和期限，降低企业用地成本，实现“拿地即开工”。在符合国土空间规划并满足相关标准和要求的前提下，鼓励存量土地混合利用和用地类型合理转换，用好存量土地转型过渡期政策，缓解企业资金压力。（责任单位：市规划资源局，各区人民政府）</w:t>
      </w:r>
    </w:p>
    <w:p w14:paraId="6F4485FB">
      <w:pPr>
        <w:pStyle w:val="2"/>
        <w:ind w:firstLine="612" w:firstLineChars="196"/>
        <w:rPr>
          <w:rFonts w:eastAsia="仿宋_GB2312"/>
          <w:szCs w:val="32"/>
        </w:rPr>
      </w:pPr>
      <w:r>
        <w:rPr>
          <w:rFonts w:hint="eastAsia" w:ascii="楷体_GB2312" w:hAnsi="楷体_GB2312" w:eastAsia="楷体_GB2312" w:cs="楷体_GB2312"/>
          <w:szCs w:val="32"/>
        </w:rPr>
        <w:t>（四）强化科技创新支撑。</w:t>
      </w:r>
      <w:r>
        <w:rPr>
          <w:rFonts w:hint="eastAsia" w:eastAsia="仿宋_GB2312"/>
          <w:szCs w:val="32"/>
        </w:rPr>
        <w:t>加强</w:t>
      </w:r>
      <w:r>
        <w:rPr>
          <w:rFonts w:hint="eastAsia" w:ascii="仿宋_GB2312" w:hAnsi="仿宋_GB2312" w:eastAsia="仿宋_GB2312" w:cs="仿宋_GB2312"/>
          <w:szCs w:val="32"/>
        </w:rPr>
        <w:t>“种子+天使+创投+产业+并购”基金群</w:t>
      </w:r>
      <w:r>
        <w:rPr>
          <w:rFonts w:hint="eastAsia" w:eastAsia="仿宋_GB2312"/>
          <w:szCs w:val="32"/>
        </w:rPr>
        <w:t>建设，完善科技型企业发展全周期股权投资体系，持续加大对科技型企业金融支持力度。建立“企业创新积分制”，统筹运用股权、债权、保险等手段，提供全链条、全周期金融服务。支持天开高教科创园企业积极开展小试、中试及科创平台建设，推动科研成果加快转化应用。（责任单位：市发展改革委、市科技局、市财政局、市地方金融管理局、天津证监局、天津金融监管局）</w:t>
      </w:r>
    </w:p>
    <w:p w14:paraId="41950E91">
      <w:pPr>
        <w:pStyle w:val="2"/>
        <w:ind w:firstLine="612" w:firstLineChars="196"/>
        <w:rPr>
          <w:rFonts w:eastAsia="仿宋_GB2312"/>
          <w:szCs w:val="32"/>
        </w:rPr>
      </w:pPr>
      <w:r>
        <w:rPr>
          <w:rFonts w:hint="eastAsia" w:ascii="楷体_GB2312" w:hAnsi="楷体_GB2312" w:eastAsia="楷体_GB2312" w:cs="楷体_GB2312"/>
          <w:szCs w:val="32"/>
        </w:rPr>
        <w:t>（五）提升算力与数据资源供给能力。</w:t>
      </w:r>
      <w:r>
        <w:rPr>
          <w:rFonts w:hint="eastAsia" w:eastAsia="仿宋_GB2312"/>
          <w:szCs w:val="32"/>
        </w:rPr>
        <w:t>提升智算中心服务效能，推动“算</w:t>
      </w:r>
      <w:r>
        <w:rPr>
          <w:rFonts w:hint="eastAsia" w:ascii="仿宋_GB2312" w:hAnsi="仿宋_GB2312" w:eastAsia="仿宋_GB2312" w:cs="仿宋_GB2312"/>
          <w:szCs w:val="32"/>
        </w:rPr>
        <w:t>力+产业</w:t>
      </w:r>
      <w:r>
        <w:rPr>
          <w:rFonts w:hint="eastAsia" w:eastAsia="仿宋_GB2312"/>
          <w:szCs w:val="32"/>
        </w:rPr>
        <w:t>”深度融合。搭建数据要素流通公共服务平台，提升数据资产登记评估、合规认证等服务效能。探索构建符合公共数据资源要素特性的收入分配机制，引导企业深化数据资源融合开发利用，实现数据要素价值化。（责任单位：市数据局、中新天津生态城管委会、市财政局）</w:t>
      </w:r>
    </w:p>
    <w:p w14:paraId="6D2ED3C2">
      <w:pPr>
        <w:pStyle w:val="2"/>
        <w:ind w:firstLine="612" w:firstLineChars="196"/>
        <w:rPr>
          <w:rFonts w:ascii="黑体" w:hAnsi="黑体" w:eastAsia="黑体" w:cs="黑体"/>
          <w:szCs w:val="32"/>
        </w:rPr>
      </w:pPr>
      <w:r>
        <w:rPr>
          <w:rFonts w:hint="eastAsia" w:ascii="黑体" w:hAnsi="黑体" w:eastAsia="黑体" w:cs="黑体"/>
          <w:szCs w:val="32"/>
        </w:rPr>
        <w:t>二、实施市场环境优化提升行动</w:t>
      </w:r>
    </w:p>
    <w:p w14:paraId="5699317F">
      <w:pPr>
        <w:pStyle w:val="2"/>
        <w:ind w:firstLine="612" w:firstLineChars="196"/>
        <w:rPr>
          <w:rFonts w:eastAsia="仿宋_GB2312"/>
          <w:szCs w:val="32"/>
        </w:rPr>
      </w:pPr>
      <w:r>
        <w:rPr>
          <w:rFonts w:hint="eastAsia" w:ascii="楷体_GB2312" w:hAnsi="楷体_GB2312" w:eastAsia="楷体_GB2312" w:cs="楷体_GB2312"/>
          <w:szCs w:val="32"/>
        </w:rPr>
        <w:t>（六）维护公平竞争市场秩序。</w:t>
      </w:r>
      <w:r>
        <w:rPr>
          <w:rFonts w:hint="eastAsia" w:eastAsia="仿宋_GB2312"/>
          <w:szCs w:val="32"/>
        </w:rPr>
        <w:t>全面落实公平竞争审查制度，常态化开展公平竞争审查抽查检查，从源头防止出台排除、限制竞争的政策措施。畅通公平竞争审查投诉举报受理渠道，及时核查处理各类投诉举报线索。开展反垄断“执法护企”和反不正当竞争专项行动，依法查处垄断和不正当竞争行为，保障各类经营主体依法平等使用生产要素、公平参与市场竞争。（责任单位：市市场监管委等有关部门，各区人民政府）</w:t>
      </w:r>
    </w:p>
    <w:p w14:paraId="0FA57025">
      <w:pPr>
        <w:pStyle w:val="2"/>
        <w:ind w:firstLine="612" w:firstLineChars="196"/>
        <w:rPr>
          <w:rFonts w:eastAsia="仿宋_GB2312"/>
          <w:szCs w:val="32"/>
        </w:rPr>
      </w:pPr>
      <w:r>
        <w:rPr>
          <w:rFonts w:hint="eastAsia" w:ascii="楷体_GB2312" w:hAnsi="楷体_GB2312" w:eastAsia="楷体_GB2312" w:cs="楷体_GB2312"/>
          <w:szCs w:val="32"/>
        </w:rPr>
        <w:t>（七）便利经营主体准入退出。</w:t>
      </w:r>
      <w:r>
        <w:rPr>
          <w:rFonts w:hint="eastAsia" w:eastAsia="仿宋_GB2312"/>
          <w:szCs w:val="32"/>
        </w:rPr>
        <w:t>开展“人工智能</w:t>
      </w:r>
      <w:r>
        <w:rPr>
          <w:rFonts w:hint="eastAsia" w:ascii="仿宋_GB2312" w:hAnsi="仿宋_GB2312" w:eastAsia="仿宋_GB2312" w:cs="仿宋_GB2312"/>
          <w:szCs w:val="32"/>
        </w:rPr>
        <w:t>+</w:t>
      </w:r>
      <w:r>
        <w:rPr>
          <w:rFonts w:hint="eastAsia" w:eastAsia="仿宋_GB2312"/>
          <w:szCs w:val="32"/>
        </w:rPr>
        <w:t>登记”试点，探索开发智能填报、智能核验、智能审查等功能，提升企业开办业务智慧化水平。在全市范围推广外商投资企业登记“全程网办”便利化服务。拓展企业破产信息查询“一件事”范围，将更多高频关联事项纳入统一平台，实现一站式联动查询。（责任单位：市市场监管委、市政务服务办、市高级人民法院，各区人民政府）</w:t>
      </w:r>
    </w:p>
    <w:p w14:paraId="15B411DF">
      <w:pPr>
        <w:pStyle w:val="2"/>
        <w:ind w:firstLine="612" w:firstLineChars="196"/>
        <w:rPr>
          <w:rFonts w:eastAsia="仿宋_GB2312"/>
          <w:szCs w:val="32"/>
        </w:rPr>
      </w:pPr>
      <w:r>
        <w:rPr>
          <w:rFonts w:hint="eastAsia" w:ascii="楷体_GB2312" w:hAnsi="楷体_GB2312" w:eastAsia="楷体_GB2312" w:cs="楷体_GB2312"/>
          <w:szCs w:val="32"/>
        </w:rPr>
        <w:t>（八）高效办理工程建设项目事项。</w:t>
      </w:r>
      <w:r>
        <w:rPr>
          <w:rFonts w:hint="eastAsia" w:eastAsia="仿宋_GB2312"/>
          <w:szCs w:val="32"/>
        </w:rPr>
        <w:t>升级完善工程建设项目审批管理系统，归集共享电子材料、电子证照、电子签章，提升数据协同与业务联动效率，强化项目全生命周期数字化管理。开展审批流程“清源提质”行动，对建设工程规划许可等高频审批事项开展全流程核查，进一步整合优化审批环节。（责任单位：市住房城乡建设委、市政务服务办，各区人民政府）</w:t>
      </w:r>
    </w:p>
    <w:p w14:paraId="72F8EB6B">
      <w:pPr>
        <w:pStyle w:val="2"/>
        <w:ind w:firstLine="612" w:firstLineChars="196"/>
        <w:rPr>
          <w:rFonts w:eastAsia="仿宋_GB2312"/>
          <w:szCs w:val="32"/>
        </w:rPr>
      </w:pPr>
      <w:r>
        <w:rPr>
          <w:rFonts w:hint="eastAsia" w:ascii="楷体_GB2312" w:hAnsi="楷体_GB2312" w:eastAsia="楷体_GB2312" w:cs="楷体_GB2312"/>
          <w:szCs w:val="32"/>
        </w:rPr>
        <w:t>（九）拓展信用信息应用场景。</w:t>
      </w:r>
      <w:r>
        <w:rPr>
          <w:rFonts w:hint="eastAsia" w:eastAsia="仿宋_GB2312"/>
          <w:szCs w:val="32"/>
        </w:rPr>
        <w:t>完善天津市公共信用信息目录，深化信用信息归集共享。加强政务、融资、监管、民生等领域信用信息应用，推出更多“信用</w:t>
      </w:r>
      <w:r>
        <w:rPr>
          <w:rFonts w:hint="eastAsia" w:ascii="仿宋_GB2312" w:hAnsi="仿宋_GB2312" w:eastAsia="仿宋_GB2312" w:cs="仿宋_GB2312"/>
          <w:szCs w:val="32"/>
        </w:rPr>
        <w:t>+</w:t>
      </w:r>
      <w:r>
        <w:rPr>
          <w:rFonts w:hint="eastAsia" w:eastAsia="仿宋_GB2312"/>
          <w:szCs w:val="32"/>
        </w:rPr>
        <w:t>”便民惠企应用场景，促进信用价值转化。探索基于城市信用分互认共享机制，推动共建信用促消费平台，带动特色产品、老字号产品、“津农精品”等跨区域流通。（责任单位：市发展改革委、市政务服务办、市商务局等有关部门）</w:t>
      </w:r>
    </w:p>
    <w:p w14:paraId="58E63CA3">
      <w:pPr>
        <w:pStyle w:val="2"/>
        <w:ind w:firstLine="612" w:firstLineChars="196"/>
        <w:rPr>
          <w:rFonts w:eastAsia="仿宋_GB2312"/>
          <w:szCs w:val="32"/>
        </w:rPr>
      </w:pPr>
      <w:r>
        <w:rPr>
          <w:rFonts w:hint="eastAsia" w:ascii="楷体_GB2312" w:hAnsi="楷体_GB2312" w:eastAsia="楷体_GB2312" w:cs="楷体_GB2312"/>
          <w:szCs w:val="32"/>
        </w:rPr>
        <w:t>（十）加强知识产权保护。</w:t>
      </w:r>
      <w:r>
        <w:rPr>
          <w:rFonts w:hint="eastAsia" w:ascii="仿宋_GB2312" w:hAnsi="仿宋_GB2312" w:eastAsia="仿宋_GB2312" w:cs="仿宋_GB2312"/>
          <w:szCs w:val="32"/>
        </w:rPr>
        <w:t>加大对</w:t>
      </w:r>
      <w:r>
        <w:rPr>
          <w:rFonts w:hint="eastAsia" w:eastAsia="仿宋_GB2312"/>
          <w:szCs w:val="32"/>
        </w:rPr>
        <w:t>国家知识产权示范企业创建对象跟踪指导和服务力度，积极做好储备企业培育，引导带动各类经营主体提升知识产权创造能力。深化知识产权快速协同保护机制，为企业提供专利快速预审与维权服务。完善海外知识产权维权指导服务网络，布局海外维权服务站，提升海外知识产权风险预警和纠纷应对能力，为企业拓展海外市场提供专业服务。（责任单位：市知识产权局、市高级人民法院、市人民检察院）</w:t>
      </w:r>
    </w:p>
    <w:p w14:paraId="191F4DEF">
      <w:pPr>
        <w:pStyle w:val="2"/>
        <w:ind w:firstLine="612" w:firstLineChars="196"/>
        <w:rPr>
          <w:rFonts w:ascii="黑体" w:hAnsi="黑体" w:eastAsia="黑体" w:cs="黑体"/>
          <w:szCs w:val="32"/>
        </w:rPr>
      </w:pPr>
      <w:r>
        <w:rPr>
          <w:rFonts w:hint="eastAsia" w:ascii="黑体" w:hAnsi="黑体" w:eastAsia="黑体" w:cs="黑体"/>
          <w:szCs w:val="32"/>
        </w:rPr>
        <w:t>三、实施法治护企权益保障行动</w:t>
      </w:r>
    </w:p>
    <w:p w14:paraId="29ED45FF">
      <w:pPr>
        <w:pStyle w:val="2"/>
        <w:ind w:firstLine="612" w:firstLineChars="196"/>
        <w:rPr>
          <w:rFonts w:eastAsia="仿宋_GB2312"/>
          <w:szCs w:val="32"/>
        </w:rPr>
      </w:pPr>
      <w:r>
        <w:rPr>
          <w:rFonts w:hint="eastAsia" w:ascii="楷体_GB2312" w:hAnsi="楷体_GB2312" w:eastAsia="楷体_GB2312" w:cs="楷体_GB2312"/>
          <w:szCs w:val="32"/>
        </w:rPr>
        <w:t>（十一）提升一体化综合监管效能。</w:t>
      </w:r>
      <w:r>
        <w:rPr>
          <w:rFonts w:hint="eastAsia" w:eastAsia="仿宋_GB2312"/>
          <w:szCs w:val="32"/>
        </w:rPr>
        <w:t>动态调整涉企行政检查主体及事项清单，细化量化行政裁量权基准。健全相关领域非现场检查程序规则，逐步提升非现场检查比例。从严管控涉企检查频次。全面推行“扫码入企”、“一表通查”等制度，真正实现“进一次门、查多项事”。更新行政执法免罚清单，依法实施“首违不罚、轻微免罚”。（责任单位：市司法局、市生态环境局、市应急管理局、市市场监管委等有关部门）</w:t>
      </w:r>
    </w:p>
    <w:p w14:paraId="76B111B4">
      <w:pPr>
        <w:pStyle w:val="2"/>
        <w:ind w:firstLine="612" w:firstLineChars="196"/>
        <w:rPr>
          <w:rFonts w:eastAsia="仿宋_GB2312"/>
          <w:szCs w:val="32"/>
        </w:rPr>
      </w:pPr>
      <w:r>
        <w:rPr>
          <w:rFonts w:hint="eastAsia" w:ascii="楷体_GB2312" w:hAnsi="楷体_GB2312" w:eastAsia="楷体_GB2312" w:cs="楷体_GB2312"/>
          <w:szCs w:val="32"/>
        </w:rPr>
        <w:t>（十二）依法保护企业合法权益。</w:t>
      </w:r>
      <w:r>
        <w:rPr>
          <w:rFonts w:hint="eastAsia" w:eastAsia="仿宋_GB2312"/>
          <w:szCs w:val="32"/>
        </w:rPr>
        <w:t>深入开展优化营商网络环境行动，大力整治炮制传播涉企虚假不实信息、敲诈勒索谋取非法利益等问题。开展违规异地执法和趋利性执法司法专项监督，整治涉企行政执法突出问题。加强商贸领域合同管理、资金流转等重点环节风险监测，严厉打击合同欺诈、违规侵占等违法违规行为，加大涉企案件追赃挽损力度。</w:t>
      </w:r>
      <w:r>
        <w:rPr>
          <w:rFonts w:hint="eastAsia" w:ascii="仿宋_GB2312" w:hAnsi="仿宋_GB2312" w:eastAsia="仿宋_GB2312" w:cs="仿宋_GB2312"/>
          <w:szCs w:val="32"/>
        </w:rPr>
        <w:t>健全完善清理拖欠企业账款长效机制，</w:t>
      </w:r>
      <w:r>
        <w:rPr>
          <w:rFonts w:hint="eastAsia" w:eastAsia="仿宋_GB2312"/>
          <w:szCs w:val="32"/>
        </w:rPr>
        <w:t>畅通违约拖欠投诉渠道，加强投诉处理闭环管理，对重点线索快办、盯办、督办，提升受理、转办、处理、反馈闭环运转实效。（责任单位：市委网信办、市人民检察院、市司法局、市高级人民法院、市公安局、市工业和信息化局，各区人民政府）</w:t>
      </w:r>
    </w:p>
    <w:p w14:paraId="4CCC74A0">
      <w:pPr>
        <w:pStyle w:val="2"/>
        <w:ind w:firstLine="612" w:firstLineChars="196"/>
        <w:rPr>
          <w:rFonts w:eastAsia="仿宋_GB2312"/>
          <w:szCs w:val="32"/>
        </w:rPr>
      </w:pPr>
      <w:r>
        <w:rPr>
          <w:rFonts w:hint="eastAsia" w:ascii="楷体_GB2312" w:hAnsi="楷体_GB2312" w:eastAsia="楷体_GB2312" w:cs="楷体_GB2312"/>
          <w:szCs w:val="32"/>
        </w:rPr>
        <w:t>（十三）持续优化涉企法律服务。</w:t>
      </w:r>
      <w:r>
        <w:rPr>
          <w:rFonts w:hint="eastAsia" w:ascii="仿宋_GB2312" w:hAnsi="仿宋_GB2312" w:eastAsia="仿宋_GB2312" w:cs="仿宋_GB2312"/>
          <w:szCs w:val="32"/>
        </w:rPr>
        <w:t>统筹律师、公证、调解、仲裁等法律服务资源，持续优化涉企法律服务供给。巩固深化“律企同行·法护营商”活动，积极开展涉企法治宣传、法治体检和纠纷化解等法律服务，助力企业提高守法经营能力。支持</w:t>
      </w:r>
      <w:r>
        <w:rPr>
          <w:rFonts w:hint="eastAsia" w:eastAsia="仿宋_GB2312"/>
          <w:szCs w:val="32"/>
        </w:rPr>
        <w:t>深化跨域诉讼服务中心建设，发挥“智慧法院”、“数字法院”作用，优化跨域立案渠道。（责任单位：市司法局、市高级人民法院、武清区人民政府）</w:t>
      </w:r>
    </w:p>
    <w:p w14:paraId="22F0C6C5">
      <w:pPr>
        <w:pStyle w:val="2"/>
        <w:ind w:firstLine="612" w:firstLineChars="196"/>
        <w:rPr>
          <w:rFonts w:ascii="黑体" w:hAnsi="黑体" w:eastAsia="黑体" w:cs="黑体"/>
          <w:szCs w:val="32"/>
        </w:rPr>
      </w:pPr>
      <w:r>
        <w:rPr>
          <w:rFonts w:hint="eastAsia" w:ascii="黑体" w:hAnsi="黑体" w:eastAsia="黑体" w:cs="黑体"/>
          <w:szCs w:val="32"/>
        </w:rPr>
        <w:t>四、实施优化开放创新生态行动</w:t>
      </w:r>
    </w:p>
    <w:p w14:paraId="0D23717D">
      <w:pPr>
        <w:pStyle w:val="2"/>
        <w:ind w:firstLine="612" w:firstLineChars="196"/>
        <w:rPr>
          <w:rFonts w:eastAsia="仿宋_GB2312"/>
          <w:szCs w:val="32"/>
        </w:rPr>
      </w:pPr>
      <w:r>
        <w:rPr>
          <w:rFonts w:hint="eastAsia" w:ascii="楷体_GB2312" w:hAnsi="楷体_GB2312" w:eastAsia="楷体_GB2312" w:cs="楷体_GB2312"/>
          <w:szCs w:val="32"/>
        </w:rPr>
        <w:t>（十四）提升产业发展能级。</w:t>
      </w:r>
      <w:r>
        <w:rPr>
          <w:rFonts w:hint="eastAsia" w:eastAsia="仿宋_GB2312"/>
          <w:szCs w:val="32"/>
        </w:rPr>
        <w:t>发挥国家级经开区产业聚集和开放创新优势，聚焦新一代信息技术、绿色石化、高端装备制造、新材料、生物医药等主导产业，强化政策、场地、资金、人才等要素精准供给，打造产业发展更适配、创新创业更友好的产业生态，全要素支撑产业集群发展壮大。依托中国资源循环集团产业布局，构建完整循环经济产业链条和特色创新生态，打造重要再生资源交易集散中心、资源循环利用科创中心。加快建设保税维修产业集群，推动飞机、工程机械等高附加值产品保税维修业务规模化落地，赋能产业链协同创新、扩面升级。（责任单位：滨海新区、东丽区、西青区、北辰区、武清区、静海区人民政府，天津经济技术开发区管委会）</w:t>
      </w:r>
    </w:p>
    <w:p w14:paraId="519F5231">
      <w:pPr>
        <w:pStyle w:val="2"/>
        <w:ind w:firstLine="612" w:firstLineChars="196"/>
        <w:rPr>
          <w:rFonts w:ascii="楷体_GB2312" w:hAnsi="楷体_GB2312" w:eastAsia="楷体_GB2312" w:cs="楷体_GB2312"/>
          <w:szCs w:val="32"/>
        </w:rPr>
      </w:pPr>
      <w:r>
        <w:rPr>
          <w:rFonts w:hint="eastAsia" w:ascii="楷体_GB2312" w:hAnsi="楷体_GB2312" w:eastAsia="楷体_GB2312" w:cs="楷体_GB2312"/>
          <w:szCs w:val="32"/>
        </w:rPr>
        <w:t>（十五）支持服务企业“走出去”。</w:t>
      </w:r>
      <w:r>
        <w:rPr>
          <w:rFonts w:hint="eastAsia" w:ascii="仿宋_GB2312" w:hAnsi="仿宋_GB2312" w:eastAsia="仿宋_GB2312" w:cs="仿宋_GB2312"/>
          <w:szCs w:val="32"/>
        </w:rPr>
        <w:t>以</w:t>
      </w:r>
      <w:r>
        <w:rPr>
          <w:rFonts w:hint="eastAsia" w:eastAsia="仿宋_GB2312"/>
          <w:szCs w:val="32"/>
        </w:rPr>
        <w:t>天津东疆自贸助企出海综合服务港为载体，构建助企出海服务体系，聚焦人才出海、数据跨境、汽车出海、跨境金融、便捷通关、国际资源循环、国际物流、文化出海服务等打造8个特色服务中心，引导法律、会计、金融等各类专业服务机构入驻，为企业出海提供全方位综合服务，积极推广“产业链出海”、“生态出海”等新模式。加大对跨境电商出口海外仓企业“点对点”辅导服务力度，充分利用跨境电子商务综合服务平台跨境电商海外仓数据，助力企业降本增效、精准出海。（责任单位：滨海新区人民政府、天津东疆综合保税区管委会、市商务局、天津海关）</w:t>
      </w:r>
    </w:p>
    <w:p w14:paraId="107F9A6B">
      <w:pPr>
        <w:pStyle w:val="2"/>
        <w:ind w:firstLine="612" w:firstLineChars="196"/>
        <w:rPr>
          <w:rFonts w:eastAsia="仿宋_GB2312"/>
          <w:szCs w:val="32"/>
        </w:rPr>
      </w:pPr>
      <w:r>
        <w:rPr>
          <w:rFonts w:hint="eastAsia" w:ascii="楷体_GB2312" w:hAnsi="楷体_GB2312" w:eastAsia="楷体_GB2312" w:cs="楷体_GB2312"/>
          <w:szCs w:val="32"/>
        </w:rPr>
        <w:t>（十六）深化数字经济国际合作。</w:t>
      </w:r>
      <w:r>
        <w:rPr>
          <w:rFonts w:hint="eastAsia" w:eastAsia="仿宋_GB2312"/>
          <w:szCs w:val="32"/>
        </w:rPr>
        <w:t>依托中国—上海合作组织数字经济合作平台，谋划推动一批标志性和“小而美”合作项目落地，吸引国内外优质数据企业集聚发展。加快推进中国—上海合作组织数字经济合作先行区建设，优化新经济产业和数智产业支持政策，精准布局国际化数据产业链条，服务数字经济企业拓展海外市场。（责任单位：天津滨海高新技术产业开发区管委会、天津港保税区管委会）</w:t>
      </w:r>
    </w:p>
    <w:p w14:paraId="786A5AC2">
      <w:pPr>
        <w:pStyle w:val="2"/>
        <w:ind w:firstLine="612" w:firstLineChars="196"/>
        <w:rPr>
          <w:rFonts w:eastAsia="仿宋_GB2312"/>
          <w:szCs w:val="32"/>
        </w:rPr>
      </w:pPr>
      <w:r>
        <w:rPr>
          <w:rFonts w:hint="eastAsia" w:ascii="楷体_GB2312" w:hAnsi="楷体_GB2312" w:eastAsia="楷体_GB2312" w:cs="楷体_GB2312"/>
          <w:szCs w:val="32"/>
        </w:rPr>
        <w:t>（十七）提升跨境贸易便利化水平。</w:t>
      </w:r>
      <w:r>
        <w:rPr>
          <w:rFonts w:hint="eastAsia" w:eastAsia="仿宋_GB2312"/>
          <w:szCs w:val="32"/>
        </w:rPr>
        <w:t>推动智慧口岸“数智港”建设，深化港口作业、交通运输等系统间互联互通和数据共享，实现“通关</w:t>
      </w:r>
      <w:r>
        <w:rPr>
          <w:rFonts w:hint="eastAsia" w:ascii="仿宋_GB2312" w:hAnsi="仿宋_GB2312" w:eastAsia="仿宋_GB2312" w:cs="仿宋_GB2312"/>
          <w:szCs w:val="32"/>
        </w:rPr>
        <w:t>+</w:t>
      </w:r>
      <w:r>
        <w:rPr>
          <w:rFonts w:hint="eastAsia" w:eastAsia="仿宋_GB2312"/>
          <w:szCs w:val="32"/>
        </w:rPr>
        <w:t>物流”全链条贯通。强化京津冀三地协同联动，在无纸贸易、电子支付、数字产品非歧视待遇、计算设施位置等领域对接国际高标准经贸规则，提升贸易数字化水平。（责任单位：市商务局、市交通运输委、天津港集团、天津海关、天津边检总站、中国人民银行天津市分行、市税务局、滨海新区人民政府）</w:t>
      </w:r>
    </w:p>
    <w:p w14:paraId="6F125892">
      <w:pPr>
        <w:pStyle w:val="2"/>
        <w:ind w:firstLine="612" w:firstLineChars="196"/>
        <w:rPr>
          <w:rFonts w:ascii="黑体" w:hAnsi="黑体" w:eastAsia="黑体" w:cs="黑体"/>
          <w:szCs w:val="32"/>
        </w:rPr>
      </w:pPr>
      <w:r>
        <w:rPr>
          <w:rFonts w:hint="eastAsia" w:ascii="黑体" w:hAnsi="黑体" w:eastAsia="黑体" w:cs="黑体"/>
          <w:szCs w:val="32"/>
        </w:rPr>
        <w:t>五、实施政务服务数智升级行动</w:t>
      </w:r>
    </w:p>
    <w:p w14:paraId="643D04ED">
      <w:pPr>
        <w:pStyle w:val="2"/>
        <w:ind w:firstLine="612" w:firstLineChars="196"/>
        <w:rPr>
          <w:rFonts w:eastAsia="仿宋_GB2312"/>
          <w:szCs w:val="32"/>
        </w:rPr>
      </w:pPr>
      <w:r>
        <w:rPr>
          <w:rFonts w:hint="eastAsia" w:ascii="楷体_GB2312" w:hAnsi="楷体_GB2312" w:eastAsia="楷体_GB2312" w:cs="楷体_GB2312"/>
          <w:szCs w:val="32"/>
        </w:rPr>
        <w:t>（十八）深化“高效办成一件事”。</w:t>
      </w:r>
      <w:r>
        <w:rPr>
          <w:rFonts w:hint="eastAsia" w:eastAsia="仿宋_GB2312"/>
          <w:szCs w:val="32"/>
        </w:rPr>
        <w:t>健全“高效办成一件事”重点事项常态化推进机制，强化“国家部署</w:t>
      </w:r>
      <w:r>
        <w:rPr>
          <w:rFonts w:hint="eastAsia" w:ascii="仿宋_GB2312" w:hAnsi="仿宋_GB2312" w:eastAsia="仿宋_GB2312" w:cs="仿宋_GB2312"/>
          <w:szCs w:val="32"/>
        </w:rPr>
        <w:t>+市级特色+区</w:t>
      </w:r>
      <w:r>
        <w:rPr>
          <w:rFonts w:hint="eastAsia" w:eastAsia="仿宋_GB2312"/>
          <w:szCs w:val="32"/>
        </w:rPr>
        <w:t>级创新”重点事项清单管理，持续推动更多高频事项集成办理。高质量实施企业购置不动产转移登记、科技型企业创新政策扶持等重点事项，拓展文化旅游、展览展会、创业就业、医疗健康等领域“一件事”服务场景，鼓励各区创新“一件事”集成服务模式，推动政务服务从“能办”向“好办、易办”转变。（责任单位：市政务服务办等有关部门，各区人民政府）</w:t>
      </w:r>
    </w:p>
    <w:p w14:paraId="51A91ADA">
      <w:pPr>
        <w:pStyle w:val="2"/>
        <w:ind w:firstLine="612" w:firstLineChars="196"/>
        <w:rPr>
          <w:rFonts w:eastAsia="仿宋_GB2312"/>
          <w:szCs w:val="32"/>
        </w:rPr>
      </w:pPr>
      <w:r>
        <w:rPr>
          <w:rFonts w:hint="eastAsia" w:ascii="楷体_GB2312" w:hAnsi="楷体_GB2312" w:eastAsia="楷体_GB2312" w:cs="楷体_GB2312"/>
          <w:szCs w:val="32"/>
        </w:rPr>
        <w:t>（十九）提升</w:t>
      </w:r>
      <w:r>
        <w:rPr>
          <w:rFonts w:eastAsia="楷体_GB2312"/>
          <w:szCs w:val="32"/>
        </w:rPr>
        <w:t>12345</w:t>
      </w:r>
      <w:r>
        <w:rPr>
          <w:rFonts w:hint="eastAsia" w:eastAsia="楷体_GB2312"/>
          <w:szCs w:val="32"/>
        </w:rPr>
        <w:t>政务服务便民</w:t>
      </w:r>
      <w:r>
        <w:rPr>
          <w:rFonts w:hint="eastAsia" w:ascii="楷体_GB2312" w:hAnsi="楷体_GB2312" w:eastAsia="楷体_GB2312" w:cs="楷体_GB2312"/>
          <w:szCs w:val="32"/>
        </w:rPr>
        <w:t>热线服务质效。</w:t>
      </w:r>
      <w:r>
        <w:rPr>
          <w:rFonts w:hint="eastAsia" w:eastAsia="仿宋_GB2312"/>
          <w:szCs w:val="32"/>
        </w:rPr>
        <w:t>健全12345政务服务便民热线工作管理体系，发挥“热线联盟”机制作用，深化与紧急热线、公共事业服务热线协同联动，完善闭环管理工作机制。建设天津市“津呼速应”一体化平台，强化数据挖掘分析和动态监测，打造“民生数据智库”，提升为民为企服务效能。（责任单位：市政务服务办等有关部门，各区人民政府）</w:t>
      </w:r>
    </w:p>
    <w:p w14:paraId="0F3825D5">
      <w:pPr>
        <w:pStyle w:val="2"/>
        <w:ind w:firstLine="612" w:firstLineChars="196"/>
        <w:rPr>
          <w:rFonts w:eastAsia="仿宋_GB2312"/>
          <w:szCs w:val="32"/>
        </w:rPr>
      </w:pPr>
      <w:r>
        <w:rPr>
          <w:rFonts w:hint="eastAsia" w:ascii="楷体_GB2312" w:hAnsi="楷体_GB2312" w:eastAsia="楷体_GB2312" w:cs="楷体_GB2312"/>
          <w:szCs w:val="32"/>
        </w:rPr>
        <w:t>（二十）夯实政务服务平台支撑。</w:t>
      </w:r>
      <w:r>
        <w:rPr>
          <w:rFonts w:hint="eastAsia" w:eastAsia="仿宋_GB2312"/>
          <w:szCs w:val="32"/>
        </w:rPr>
        <w:t>优化政务服务智能中枢平台，拓展人工智能技术应用，持续提升事项办理体验。建设政务服务电子签名系统，支撑一体化政务服务平台、“津心办”等系统应用，推进政务服务全流程电子化办理。深化天津网上办事大厅与“津心办”平台两端融合，实现更多高频事项“网上办、掌上办、码上办、一次办”。（责任单位：市政务服务办等有关部门，各区人民政府）</w:t>
      </w:r>
    </w:p>
    <w:p w14:paraId="6B908A1F">
      <w:pPr>
        <w:pStyle w:val="2"/>
        <w:ind w:firstLine="612" w:firstLineChars="196"/>
        <w:rPr>
          <w:rFonts w:eastAsia="仿宋_GB2312"/>
          <w:szCs w:val="32"/>
        </w:rPr>
      </w:pPr>
      <w:r>
        <w:rPr>
          <w:rFonts w:hint="eastAsia" w:ascii="楷体_GB2312" w:hAnsi="楷体_GB2312" w:eastAsia="楷体_GB2312" w:cs="楷体_GB2312"/>
          <w:szCs w:val="32"/>
        </w:rPr>
        <w:t>（二十一）创新政务服务供给模式。</w:t>
      </w:r>
      <w:r>
        <w:rPr>
          <w:rFonts w:hint="eastAsia" w:eastAsia="仿宋_GB2312"/>
          <w:szCs w:val="32"/>
        </w:rPr>
        <w:t>聚焦天开高教科创园建设、“站产城”融合发展、“117项目”盘活利用等重点工作，制定专项政务服务事项清单，探索创新差异化、定制化服务。深化“政企同行·有需必应”服务机制，鼓励在商务楼宇内设置政务服务驿站，实现涉企高频政务事项“楼下即办”。支持南开区全域创新区建设，围绕推动科创资源集聚、产业能级提升与创新生态完善一体推进，提供适配创新发展的政务服务事项。（责任单位：市政务服务办等有关部门，有关区人民政府）</w:t>
      </w:r>
    </w:p>
    <w:p w14:paraId="25C6393A">
      <w:pPr>
        <w:pStyle w:val="2"/>
        <w:ind w:firstLine="612" w:firstLineChars="196"/>
        <w:rPr>
          <w:rFonts w:eastAsia="仿宋_GB2312"/>
          <w:szCs w:val="32"/>
        </w:rPr>
      </w:pPr>
      <w:r>
        <w:rPr>
          <w:rFonts w:hint="eastAsia" w:ascii="楷体_GB2312" w:hAnsi="楷体_GB2312" w:eastAsia="楷体_GB2312" w:cs="楷体_GB2312"/>
          <w:szCs w:val="32"/>
        </w:rPr>
        <w:t>（二十二）深化政务服务增值化改革。</w:t>
      </w:r>
      <w:r>
        <w:rPr>
          <w:rFonts w:hint="eastAsia" w:eastAsia="仿宋_GB2312"/>
          <w:szCs w:val="32"/>
        </w:rPr>
        <w:t>聚焦企业全生命周期和产业全链条发展需求，提升各级政务服务中心服务功能，围绕政策、法律、人才、金融、科技、知识产权等关键环节，打造“一站式”增值服务矩阵。提升综合窗口系统应用成效，推动高频涉企服务事项协同联办，采取预约分流、错峰服务、潮汐窗口等方式，提升服务响应效率。（责任单位：市政务服务办等有关部门，各区人民政府）</w:t>
      </w:r>
    </w:p>
    <w:p w14:paraId="7A3319AA">
      <w:pPr>
        <w:pStyle w:val="2"/>
        <w:ind w:firstLine="612" w:firstLineChars="196"/>
        <w:rPr>
          <w:rFonts w:eastAsia="仿宋_GB2312"/>
          <w:szCs w:val="32"/>
        </w:rPr>
      </w:pPr>
      <w:r>
        <w:rPr>
          <w:rFonts w:hint="eastAsia" w:ascii="楷体_GB2312" w:hAnsi="楷体_GB2312" w:eastAsia="楷体_GB2312" w:cs="楷体_GB2312"/>
          <w:szCs w:val="32"/>
        </w:rPr>
        <w:t>（二十三）加快招标投标领域改革。</w:t>
      </w:r>
      <w:r>
        <w:rPr>
          <w:rFonts w:hint="eastAsia" w:eastAsia="仿宋_GB2312"/>
          <w:szCs w:val="32"/>
        </w:rPr>
        <w:t>推进人工智能技术在招标文件审查、围串标监测、辅助评审等场景的应用，提升审查效率与精准度。升级公共资源交易电子监管系统，构建预警处置、信用协同、智慧监管的全链条闭环管理机制。建立评标场所工位共享目录和评标专家库共享目录，加强评标专家与专家库管理，共享评标专家资源，拓展远程异地评标范围。（责任单位：市政务服务办、市发展改革委）</w:t>
      </w:r>
    </w:p>
    <w:p w14:paraId="480B5A08">
      <w:pPr>
        <w:pStyle w:val="2"/>
        <w:ind w:firstLine="612" w:firstLineChars="196"/>
        <w:rPr>
          <w:rFonts w:eastAsia="仿宋_GB2312"/>
          <w:szCs w:val="32"/>
        </w:rPr>
        <w:sectPr>
          <w:headerReference r:id="rId4" w:type="first"/>
          <w:footerReference r:id="rId7" w:type="first"/>
          <w:headerReference r:id="rId3" w:type="default"/>
          <w:footerReference r:id="rId5" w:type="default"/>
          <w:footerReference r:id="rId6" w:type="even"/>
          <w:pgSz w:w="11907" w:h="16840"/>
          <w:pgMar w:top="2098" w:right="1474" w:bottom="1984" w:left="1587" w:header="851" w:footer="1701" w:gutter="0"/>
          <w:cols w:space="720" w:num="1"/>
          <w:docGrid w:type="linesAndChars" w:linePitch="289" w:charSpace="-1839"/>
        </w:sectPr>
      </w:pPr>
      <w:r>
        <w:rPr>
          <w:rFonts w:hint="eastAsia" w:eastAsia="仿宋_GB2312"/>
          <w:szCs w:val="32"/>
        </w:rPr>
        <w:t>各区、各有关部门和单位要高度重视营商环境建设，加强沟通对接、协同配合，切实形成工作合力。市政务服务办要统筹推动、跟踪调度，及时掌握各项任务举措落实情况和经营主体满意度情况，加大典型案例、工作特色亮点宣传力度，确保各项任务举措落到实处。</w:t>
      </w:r>
    </w:p>
    <w:p w14:paraId="0F064B1D">
      <w:pPr>
        <w:pStyle w:val="2"/>
        <w:ind w:firstLine="612" w:firstLineChars="196"/>
        <w:rPr>
          <w:rFonts w:eastAsia="仿宋_GB2312"/>
          <w:szCs w:val="32"/>
        </w:rPr>
      </w:pPr>
    </w:p>
    <w:p w14:paraId="45E3287C">
      <w:pPr>
        <w:pStyle w:val="2"/>
        <w:rPr>
          <w:rFonts w:eastAsia="仿宋_GB2312"/>
          <w:szCs w:val="32"/>
        </w:rPr>
      </w:pPr>
    </w:p>
    <w:p w14:paraId="1EEACB64">
      <w:pPr>
        <w:pStyle w:val="2"/>
        <w:ind w:left="914" w:hanging="917" w:hangingChars="294"/>
        <w:rPr>
          <w:rFonts w:eastAsia="仿宋_GB2312"/>
          <w:szCs w:val="32"/>
        </w:rPr>
      </w:pPr>
    </w:p>
    <w:p w14:paraId="0C098DB3">
      <w:pPr>
        <w:pStyle w:val="2"/>
        <w:rPr>
          <w:rFonts w:ascii="仿宋_GB2312" w:hAnsi="仿宋_GB2312" w:eastAsia="仿宋_GB2312" w:cs="仿宋_GB2312"/>
          <w:szCs w:val="32"/>
        </w:rPr>
      </w:pPr>
    </w:p>
    <w:sectPr>
      <w:headerReference r:id="rId8" w:type="first"/>
      <w:footerReference r:id="rId10" w:type="first"/>
      <w:footerReference r:id="rId9" w:type="default"/>
      <w:pgSz w:w="11907" w:h="16840"/>
      <w:pgMar w:top="2098" w:right="1474" w:bottom="1984" w:left="1587" w:header="851" w:footer="1701" w:gutter="0"/>
      <w:cols w:space="720" w:num="1"/>
      <w:titlePg/>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396">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sz w:val="28"/>
      </w:rPr>
      <w:fldChar w:fldCharType="begin"/>
    </w:r>
    <w:r>
      <w:rPr>
        <w:rStyle w:val="9"/>
        <w:sz w:val="28"/>
      </w:rPr>
      <w:instrText xml:space="preserve">PAGE  </w:instrText>
    </w:r>
    <w:r>
      <w:rPr>
        <w:sz w:val="28"/>
      </w:rPr>
      <w:fldChar w:fldCharType="separate"/>
    </w:r>
    <w:r>
      <w:rPr>
        <w:rStyle w:val="9"/>
        <w:sz w:val="28"/>
      </w:rPr>
      <w:t>1</w:t>
    </w:r>
    <w:r>
      <w:rPr>
        <w:sz w:val="28"/>
      </w:rPr>
      <w:fldChar w:fldCharType="end"/>
    </w:r>
    <w:r>
      <w:rPr>
        <w:rStyle w:val="9"/>
        <w:sz w:val="28"/>
      </w:rPr>
      <w:t xml:space="preserve"> </w:t>
    </w:r>
    <w:r>
      <w:rPr>
        <w:rStyle w:val="9"/>
        <w:rFonts w:hint="eastAsia"/>
        <w:sz w:val="28"/>
      </w:rPr>
      <w:t>—</w:t>
    </w:r>
  </w:p>
  <w:p w14:paraId="6227D112">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DC9FA">
    <w:pPr>
      <w:pStyle w:val="5"/>
      <w:framePr w:wrap="around" w:vAnchor="text" w:hAnchor="margin" w:xAlign="outside" w:y="1"/>
      <w:rPr>
        <w:rStyle w:val="9"/>
      </w:rPr>
    </w:pPr>
    <w:r>
      <w:fldChar w:fldCharType="begin"/>
    </w:r>
    <w:r>
      <w:rPr>
        <w:rStyle w:val="9"/>
      </w:rPr>
      <w:instrText xml:space="preserve">PAGE  </w:instrText>
    </w:r>
    <w:r>
      <w:fldChar w:fldCharType="end"/>
    </w:r>
  </w:p>
  <w:p w14:paraId="28D2F18F">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72E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E954B">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sz w:val="28"/>
      </w:rPr>
      <w:fldChar w:fldCharType="begin"/>
    </w:r>
    <w:r>
      <w:rPr>
        <w:rStyle w:val="9"/>
        <w:sz w:val="28"/>
      </w:rPr>
      <w:instrText xml:space="preserve">PAGE  </w:instrText>
    </w:r>
    <w:r>
      <w:rPr>
        <w:sz w:val="28"/>
      </w:rPr>
      <w:fldChar w:fldCharType="separate"/>
    </w:r>
    <w:r>
      <w:rPr>
        <w:rStyle w:val="9"/>
        <w:sz w:val="28"/>
      </w:rPr>
      <w:t>1</w:t>
    </w:r>
    <w:r>
      <w:rPr>
        <w:sz w:val="28"/>
      </w:rPr>
      <w:fldChar w:fldCharType="end"/>
    </w:r>
    <w:r>
      <w:rPr>
        <w:rStyle w:val="9"/>
        <w:sz w:val="28"/>
      </w:rPr>
      <w:t xml:space="preserve"> </w:t>
    </w:r>
    <w:r>
      <w:rPr>
        <w:rStyle w:val="9"/>
        <w:rFonts w:hint="eastAsia"/>
        <w:sz w:val="28"/>
      </w:rPr>
      <w:t>—</w:t>
    </w:r>
  </w:p>
  <w:p w14:paraId="1822B4AB">
    <w:pPr>
      <w:pStyle w:val="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F1AA8">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686B1">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5E5D">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501BC">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000007A8"/>
    <w:rsid w:val="000044C7"/>
    <w:rsid w:val="000068A5"/>
    <w:rsid w:val="0003738B"/>
    <w:rsid w:val="00071623"/>
    <w:rsid w:val="000E2D13"/>
    <w:rsid w:val="001306AE"/>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C3056"/>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5486"/>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29D21"/>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02B6401C"/>
    <w:rsid w:val="03E7C5C3"/>
    <w:rsid w:val="06A74D17"/>
    <w:rsid w:val="084739B7"/>
    <w:rsid w:val="0DBBE605"/>
    <w:rsid w:val="0FFF2762"/>
    <w:rsid w:val="12FB4B62"/>
    <w:rsid w:val="14AFBF39"/>
    <w:rsid w:val="17871001"/>
    <w:rsid w:val="1AFF2130"/>
    <w:rsid w:val="1BDB0077"/>
    <w:rsid w:val="1BF52A1A"/>
    <w:rsid w:val="1BFE7D01"/>
    <w:rsid w:val="1CED93D1"/>
    <w:rsid w:val="1DD75A8C"/>
    <w:rsid w:val="1EBD1CDF"/>
    <w:rsid w:val="1F15612C"/>
    <w:rsid w:val="1F7F91D9"/>
    <w:rsid w:val="1F9E356B"/>
    <w:rsid w:val="1FBDEE75"/>
    <w:rsid w:val="1FFD3127"/>
    <w:rsid w:val="1FFE2AEA"/>
    <w:rsid w:val="1FFEF343"/>
    <w:rsid w:val="236F36FE"/>
    <w:rsid w:val="26BF9046"/>
    <w:rsid w:val="26FB793D"/>
    <w:rsid w:val="26FBE7DE"/>
    <w:rsid w:val="276D9A0D"/>
    <w:rsid w:val="27BFB771"/>
    <w:rsid w:val="27EDA658"/>
    <w:rsid w:val="29F79B4C"/>
    <w:rsid w:val="2B1C0D3A"/>
    <w:rsid w:val="2BCB56F8"/>
    <w:rsid w:val="2BF8C7A4"/>
    <w:rsid w:val="2BFE7C26"/>
    <w:rsid w:val="2CFAE912"/>
    <w:rsid w:val="2D4F8C9D"/>
    <w:rsid w:val="2DDF8A16"/>
    <w:rsid w:val="2DEFDE51"/>
    <w:rsid w:val="2EE7AA75"/>
    <w:rsid w:val="2F42A8E9"/>
    <w:rsid w:val="2F7BAC0E"/>
    <w:rsid w:val="2FDF89C4"/>
    <w:rsid w:val="2FF38D66"/>
    <w:rsid w:val="2FFF16E1"/>
    <w:rsid w:val="2FFFDCD2"/>
    <w:rsid w:val="31DD336C"/>
    <w:rsid w:val="32FF8446"/>
    <w:rsid w:val="33EFCCF8"/>
    <w:rsid w:val="33F77486"/>
    <w:rsid w:val="33FD479A"/>
    <w:rsid w:val="356FEB28"/>
    <w:rsid w:val="36CA5667"/>
    <w:rsid w:val="36DB30C6"/>
    <w:rsid w:val="373C8BAC"/>
    <w:rsid w:val="375E0B4B"/>
    <w:rsid w:val="37674332"/>
    <w:rsid w:val="3777A921"/>
    <w:rsid w:val="377DF77F"/>
    <w:rsid w:val="37BB32E8"/>
    <w:rsid w:val="37BE19ED"/>
    <w:rsid w:val="37F36CB6"/>
    <w:rsid w:val="37FF1EA8"/>
    <w:rsid w:val="396F64F2"/>
    <w:rsid w:val="39EF6079"/>
    <w:rsid w:val="39FB42F0"/>
    <w:rsid w:val="3ADB679C"/>
    <w:rsid w:val="3ADD961B"/>
    <w:rsid w:val="3ADEDE6F"/>
    <w:rsid w:val="3AEEA416"/>
    <w:rsid w:val="3AFD7DA1"/>
    <w:rsid w:val="3BFD88C1"/>
    <w:rsid w:val="3BFECE17"/>
    <w:rsid w:val="3CBF535F"/>
    <w:rsid w:val="3DBF69E9"/>
    <w:rsid w:val="3DEFE84B"/>
    <w:rsid w:val="3DFD0BE2"/>
    <w:rsid w:val="3DFF9184"/>
    <w:rsid w:val="3DFFB73F"/>
    <w:rsid w:val="3E3B43D4"/>
    <w:rsid w:val="3E5F4314"/>
    <w:rsid w:val="3E7B2FAA"/>
    <w:rsid w:val="3EBEE49E"/>
    <w:rsid w:val="3EEFF3FD"/>
    <w:rsid w:val="3F5A4836"/>
    <w:rsid w:val="3F5BF47B"/>
    <w:rsid w:val="3FAF4B00"/>
    <w:rsid w:val="3FB255DB"/>
    <w:rsid w:val="3FB51A03"/>
    <w:rsid w:val="3FB6E8F2"/>
    <w:rsid w:val="3FBF0442"/>
    <w:rsid w:val="3FBFAAB7"/>
    <w:rsid w:val="3FBFB9FA"/>
    <w:rsid w:val="3FBFEB02"/>
    <w:rsid w:val="3FC83F86"/>
    <w:rsid w:val="3FD631B2"/>
    <w:rsid w:val="3FDD767F"/>
    <w:rsid w:val="3FED07E5"/>
    <w:rsid w:val="3FFA116F"/>
    <w:rsid w:val="3FFEB7C1"/>
    <w:rsid w:val="3FFF0533"/>
    <w:rsid w:val="3FFFBBB3"/>
    <w:rsid w:val="3FFFFDAC"/>
    <w:rsid w:val="457F0568"/>
    <w:rsid w:val="47BE4E97"/>
    <w:rsid w:val="4B4F573F"/>
    <w:rsid w:val="4B7BD7AF"/>
    <w:rsid w:val="4BCEDF44"/>
    <w:rsid w:val="4DBA27E6"/>
    <w:rsid w:val="4E597882"/>
    <w:rsid w:val="4E5F3F24"/>
    <w:rsid w:val="4EB7A115"/>
    <w:rsid w:val="4F8A8D97"/>
    <w:rsid w:val="4FB58BEB"/>
    <w:rsid w:val="4FF91FC1"/>
    <w:rsid w:val="4FFD460D"/>
    <w:rsid w:val="51FB1091"/>
    <w:rsid w:val="5302498F"/>
    <w:rsid w:val="53BFD51B"/>
    <w:rsid w:val="557DF5CC"/>
    <w:rsid w:val="564544EB"/>
    <w:rsid w:val="573D0A29"/>
    <w:rsid w:val="575C13C6"/>
    <w:rsid w:val="577293F7"/>
    <w:rsid w:val="5775561A"/>
    <w:rsid w:val="57778FCB"/>
    <w:rsid w:val="57BC2A9C"/>
    <w:rsid w:val="57BD5FCD"/>
    <w:rsid w:val="57EDA587"/>
    <w:rsid w:val="57F939B4"/>
    <w:rsid w:val="57FD611D"/>
    <w:rsid w:val="57FE947E"/>
    <w:rsid w:val="57FF40F9"/>
    <w:rsid w:val="5973BCF4"/>
    <w:rsid w:val="59EE8081"/>
    <w:rsid w:val="5AAF432F"/>
    <w:rsid w:val="5AFF9A51"/>
    <w:rsid w:val="5B2E5CE0"/>
    <w:rsid w:val="5B3BA561"/>
    <w:rsid w:val="5B3F1F15"/>
    <w:rsid w:val="5B7E5029"/>
    <w:rsid w:val="5B9E160C"/>
    <w:rsid w:val="5BFF68A0"/>
    <w:rsid w:val="5CD7CA42"/>
    <w:rsid w:val="5D77C9A9"/>
    <w:rsid w:val="5D8C7F2E"/>
    <w:rsid w:val="5DAF1350"/>
    <w:rsid w:val="5DDE5385"/>
    <w:rsid w:val="5DDFCC51"/>
    <w:rsid w:val="5DFF8026"/>
    <w:rsid w:val="5E5F36CC"/>
    <w:rsid w:val="5E7B3AEA"/>
    <w:rsid w:val="5E7BF687"/>
    <w:rsid w:val="5ED7DF50"/>
    <w:rsid w:val="5EDF46B4"/>
    <w:rsid w:val="5EF7B7CB"/>
    <w:rsid w:val="5EF7C8C9"/>
    <w:rsid w:val="5EFF0C7C"/>
    <w:rsid w:val="5EFF56E8"/>
    <w:rsid w:val="5EFFF73B"/>
    <w:rsid w:val="5F3E1FCD"/>
    <w:rsid w:val="5F3ED97E"/>
    <w:rsid w:val="5F6B7309"/>
    <w:rsid w:val="5F7F15BF"/>
    <w:rsid w:val="5F8F3FE1"/>
    <w:rsid w:val="5F97AA97"/>
    <w:rsid w:val="5F9D7D2F"/>
    <w:rsid w:val="5FAF9D8E"/>
    <w:rsid w:val="5FAFA521"/>
    <w:rsid w:val="5FAFCF6A"/>
    <w:rsid w:val="5FBBFF03"/>
    <w:rsid w:val="5FBE95FB"/>
    <w:rsid w:val="5FD6CF25"/>
    <w:rsid w:val="5FDF25F4"/>
    <w:rsid w:val="5FE693F8"/>
    <w:rsid w:val="5FEA1298"/>
    <w:rsid w:val="5FEBD202"/>
    <w:rsid w:val="5FED8F73"/>
    <w:rsid w:val="5FEFAD44"/>
    <w:rsid w:val="5FF39BB8"/>
    <w:rsid w:val="5FFCD660"/>
    <w:rsid w:val="5FFE0E20"/>
    <w:rsid w:val="61BDACA7"/>
    <w:rsid w:val="627D3FEB"/>
    <w:rsid w:val="63F376A3"/>
    <w:rsid w:val="63FBCF23"/>
    <w:rsid w:val="64FE2A9F"/>
    <w:rsid w:val="65772721"/>
    <w:rsid w:val="65B810DF"/>
    <w:rsid w:val="65F797FD"/>
    <w:rsid w:val="66279953"/>
    <w:rsid w:val="66BFD391"/>
    <w:rsid w:val="673E190E"/>
    <w:rsid w:val="6742F82A"/>
    <w:rsid w:val="677F7519"/>
    <w:rsid w:val="679BC6F0"/>
    <w:rsid w:val="679FB3CB"/>
    <w:rsid w:val="67B32F2C"/>
    <w:rsid w:val="67B7A042"/>
    <w:rsid w:val="67B83202"/>
    <w:rsid w:val="67CFD718"/>
    <w:rsid w:val="67DEA3E7"/>
    <w:rsid w:val="67DF0C5B"/>
    <w:rsid w:val="67EB79C0"/>
    <w:rsid w:val="67EF88BC"/>
    <w:rsid w:val="67EF89D4"/>
    <w:rsid w:val="67F71F7F"/>
    <w:rsid w:val="67FEE231"/>
    <w:rsid w:val="68EF6D01"/>
    <w:rsid w:val="69EF1CD4"/>
    <w:rsid w:val="6A370139"/>
    <w:rsid w:val="6AAFA2E8"/>
    <w:rsid w:val="6AFDA91E"/>
    <w:rsid w:val="6AFFA3AA"/>
    <w:rsid w:val="6BCFB863"/>
    <w:rsid w:val="6BD7CBF8"/>
    <w:rsid w:val="6BDFB79D"/>
    <w:rsid w:val="6BEDF7F4"/>
    <w:rsid w:val="6BFAC525"/>
    <w:rsid w:val="6BFF74E5"/>
    <w:rsid w:val="6BFF944E"/>
    <w:rsid w:val="6BFFDDEF"/>
    <w:rsid w:val="6D55C9D2"/>
    <w:rsid w:val="6D77A482"/>
    <w:rsid w:val="6D79B952"/>
    <w:rsid w:val="6D7F3203"/>
    <w:rsid w:val="6DBDD9A3"/>
    <w:rsid w:val="6DEBAF32"/>
    <w:rsid w:val="6EAFF8DB"/>
    <w:rsid w:val="6EDFEC19"/>
    <w:rsid w:val="6EEEBD29"/>
    <w:rsid w:val="6EF2B8B2"/>
    <w:rsid w:val="6F4F4190"/>
    <w:rsid w:val="6F560ECF"/>
    <w:rsid w:val="6F578198"/>
    <w:rsid w:val="6F769B23"/>
    <w:rsid w:val="6F97B0D1"/>
    <w:rsid w:val="6FA767DC"/>
    <w:rsid w:val="6FABCFC5"/>
    <w:rsid w:val="6FBA0C2A"/>
    <w:rsid w:val="6FBA7CA5"/>
    <w:rsid w:val="6FBE3B0B"/>
    <w:rsid w:val="6FCEAB69"/>
    <w:rsid w:val="6FD5DBC0"/>
    <w:rsid w:val="6FE73C28"/>
    <w:rsid w:val="6FEDC21C"/>
    <w:rsid w:val="6FEE9AEE"/>
    <w:rsid w:val="6FFDA7E7"/>
    <w:rsid w:val="6FFF404C"/>
    <w:rsid w:val="6FFF9E13"/>
    <w:rsid w:val="707E7707"/>
    <w:rsid w:val="717F3EB1"/>
    <w:rsid w:val="717FD9DC"/>
    <w:rsid w:val="719A664F"/>
    <w:rsid w:val="71CC5BEC"/>
    <w:rsid w:val="73B6606F"/>
    <w:rsid w:val="73BEA1AA"/>
    <w:rsid w:val="73F7FDB3"/>
    <w:rsid w:val="73FE4B61"/>
    <w:rsid w:val="73FF8934"/>
    <w:rsid w:val="74FB3913"/>
    <w:rsid w:val="74FF103A"/>
    <w:rsid w:val="759FB330"/>
    <w:rsid w:val="75AFCA3F"/>
    <w:rsid w:val="75C774FC"/>
    <w:rsid w:val="75E6E951"/>
    <w:rsid w:val="75EED45B"/>
    <w:rsid w:val="75FFB79B"/>
    <w:rsid w:val="75FFD392"/>
    <w:rsid w:val="767F949A"/>
    <w:rsid w:val="76CE2AAA"/>
    <w:rsid w:val="76DA01C7"/>
    <w:rsid w:val="76E679EB"/>
    <w:rsid w:val="76FB5ECC"/>
    <w:rsid w:val="76FD6D21"/>
    <w:rsid w:val="76FE40EF"/>
    <w:rsid w:val="77675610"/>
    <w:rsid w:val="7783877F"/>
    <w:rsid w:val="77BF7C0D"/>
    <w:rsid w:val="77CB6855"/>
    <w:rsid w:val="77D01E54"/>
    <w:rsid w:val="77DDD1B8"/>
    <w:rsid w:val="77DFF53F"/>
    <w:rsid w:val="77E7458C"/>
    <w:rsid w:val="77EDED48"/>
    <w:rsid w:val="77F708F0"/>
    <w:rsid w:val="77F9EE9A"/>
    <w:rsid w:val="77FF598A"/>
    <w:rsid w:val="77FF660C"/>
    <w:rsid w:val="77FFF818"/>
    <w:rsid w:val="791F38B8"/>
    <w:rsid w:val="799F53E4"/>
    <w:rsid w:val="79B6202F"/>
    <w:rsid w:val="7ADC5027"/>
    <w:rsid w:val="7AFEF08A"/>
    <w:rsid w:val="7AFF5B99"/>
    <w:rsid w:val="7B52F756"/>
    <w:rsid w:val="7B5B7414"/>
    <w:rsid w:val="7B5F85BE"/>
    <w:rsid w:val="7B6506F2"/>
    <w:rsid w:val="7B75F1F8"/>
    <w:rsid w:val="7B7610D3"/>
    <w:rsid w:val="7B7B801C"/>
    <w:rsid w:val="7B7DFA7F"/>
    <w:rsid w:val="7B8BCEC8"/>
    <w:rsid w:val="7B9FC146"/>
    <w:rsid w:val="7BCB12BE"/>
    <w:rsid w:val="7BCEC6D7"/>
    <w:rsid w:val="7BCF3490"/>
    <w:rsid w:val="7BDF2F66"/>
    <w:rsid w:val="7BDF5D19"/>
    <w:rsid w:val="7BF6365D"/>
    <w:rsid w:val="7BF77535"/>
    <w:rsid w:val="7BF7F195"/>
    <w:rsid w:val="7BF9A342"/>
    <w:rsid w:val="7BFB5416"/>
    <w:rsid w:val="7BFFDAAD"/>
    <w:rsid w:val="7C3D4376"/>
    <w:rsid w:val="7CFF1884"/>
    <w:rsid w:val="7D75E5A6"/>
    <w:rsid w:val="7D7EB527"/>
    <w:rsid w:val="7D9AD8C4"/>
    <w:rsid w:val="7D9FCF90"/>
    <w:rsid w:val="7DBB5DF9"/>
    <w:rsid w:val="7DBEA024"/>
    <w:rsid w:val="7DC7DB1E"/>
    <w:rsid w:val="7DD6AEAE"/>
    <w:rsid w:val="7DDD4043"/>
    <w:rsid w:val="7DE51330"/>
    <w:rsid w:val="7DE72370"/>
    <w:rsid w:val="7DE7BA95"/>
    <w:rsid w:val="7DEF63AC"/>
    <w:rsid w:val="7DF63A74"/>
    <w:rsid w:val="7DF94CC5"/>
    <w:rsid w:val="7DFD1C2F"/>
    <w:rsid w:val="7DFE43F8"/>
    <w:rsid w:val="7E29DEC8"/>
    <w:rsid w:val="7E6F84E4"/>
    <w:rsid w:val="7E8FF54C"/>
    <w:rsid w:val="7EA3E8AE"/>
    <w:rsid w:val="7EAF9E86"/>
    <w:rsid w:val="7EBE45F0"/>
    <w:rsid w:val="7ECFE751"/>
    <w:rsid w:val="7ED6279C"/>
    <w:rsid w:val="7ED75956"/>
    <w:rsid w:val="7ED97503"/>
    <w:rsid w:val="7EDF20D0"/>
    <w:rsid w:val="7EDFEBF6"/>
    <w:rsid w:val="7EE7BEE2"/>
    <w:rsid w:val="7EEFDD1C"/>
    <w:rsid w:val="7EF9AFB7"/>
    <w:rsid w:val="7EFBA9E4"/>
    <w:rsid w:val="7EFCD4A4"/>
    <w:rsid w:val="7EFCDA79"/>
    <w:rsid w:val="7EFDE515"/>
    <w:rsid w:val="7F16A97B"/>
    <w:rsid w:val="7F1FB570"/>
    <w:rsid w:val="7F2D532F"/>
    <w:rsid w:val="7F3CF3DD"/>
    <w:rsid w:val="7F3FDE68"/>
    <w:rsid w:val="7F4D756B"/>
    <w:rsid w:val="7F5BE2A8"/>
    <w:rsid w:val="7F67EC9C"/>
    <w:rsid w:val="7F6A1F73"/>
    <w:rsid w:val="7F6BEC99"/>
    <w:rsid w:val="7F734676"/>
    <w:rsid w:val="7F75FD23"/>
    <w:rsid w:val="7F7B9CAF"/>
    <w:rsid w:val="7F7E715A"/>
    <w:rsid w:val="7F7EF665"/>
    <w:rsid w:val="7F7F33F9"/>
    <w:rsid w:val="7F7F3583"/>
    <w:rsid w:val="7F7FC526"/>
    <w:rsid w:val="7F89F1B1"/>
    <w:rsid w:val="7F8F932E"/>
    <w:rsid w:val="7F9F95DE"/>
    <w:rsid w:val="7F9FAEC7"/>
    <w:rsid w:val="7FA7D6B6"/>
    <w:rsid w:val="7FA99D22"/>
    <w:rsid w:val="7FAB1D0C"/>
    <w:rsid w:val="7FBDEEAC"/>
    <w:rsid w:val="7FBDF405"/>
    <w:rsid w:val="7FBE58A3"/>
    <w:rsid w:val="7FBF31D2"/>
    <w:rsid w:val="7FBFCF77"/>
    <w:rsid w:val="7FC55FC1"/>
    <w:rsid w:val="7FC7358E"/>
    <w:rsid w:val="7FCB4666"/>
    <w:rsid w:val="7FCFF155"/>
    <w:rsid w:val="7FD75E38"/>
    <w:rsid w:val="7FD7959B"/>
    <w:rsid w:val="7FD7A85B"/>
    <w:rsid w:val="7FDCF507"/>
    <w:rsid w:val="7FDFC19F"/>
    <w:rsid w:val="7FE1C06F"/>
    <w:rsid w:val="7FE2D080"/>
    <w:rsid w:val="7FE74215"/>
    <w:rsid w:val="7FE78384"/>
    <w:rsid w:val="7FE7F449"/>
    <w:rsid w:val="7FEB8E89"/>
    <w:rsid w:val="7FECE8A8"/>
    <w:rsid w:val="7FEE17EF"/>
    <w:rsid w:val="7FEF9D09"/>
    <w:rsid w:val="7FEFD64A"/>
    <w:rsid w:val="7FF209A0"/>
    <w:rsid w:val="7FF24AA1"/>
    <w:rsid w:val="7FF6DA5A"/>
    <w:rsid w:val="7FF70F9C"/>
    <w:rsid w:val="7FF728B9"/>
    <w:rsid w:val="7FF96E27"/>
    <w:rsid w:val="7FFA306B"/>
    <w:rsid w:val="7FFA5083"/>
    <w:rsid w:val="7FFC3F5B"/>
    <w:rsid w:val="7FFCCCB0"/>
    <w:rsid w:val="7FFD12B4"/>
    <w:rsid w:val="7FFD29D3"/>
    <w:rsid w:val="7FFE7445"/>
    <w:rsid w:val="7FFECAFE"/>
    <w:rsid w:val="7FFF32C0"/>
    <w:rsid w:val="7FFF428B"/>
    <w:rsid w:val="7FFF6937"/>
    <w:rsid w:val="7FFF9A35"/>
    <w:rsid w:val="7FFFA06E"/>
    <w:rsid w:val="8CD55D97"/>
    <w:rsid w:val="8D7AA15F"/>
    <w:rsid w:val="8DBF6A4C"/>
    <w:rsid w:val="8DFFC3E3"/>
    <w:rsid w:val="8E49ABC4"/>
    <w:rsid w:val="97CBE90C"/>
    <w:rsid w:val="97CCCC6B"/>
    <w:rsid w:val="97FA46D9"/>
    <w:rsid w:val="97FB014D"/>
    <w:rsid w:val="9BFA26B8"/>
    <w:rsid w:val="9D7FD185"/>
    <w:rsid w:val="9E5F7018"/>
    <w:rsid w:val="9EF744A0"/>
    <w:rsid w:val="9F5BDC82"/>
    <w:rsid w:val="9F5E7CB6"/>
    <w:rsid w:val="9F6A1669"/>
    <w:rsid w:val="9F6E82ED"/>
    <w:rsid w:val="9F6F5ACF"/>
    <w:rsid w:val="9FEB3E81"/>
    <w:rsid w:val="A33F713A"/>
    <w:rsid w:val="A3DDE2FD"/>
    <w:rsid w:val="A3FF3C5B"/>
    <w:rsid w:val="A4D4ECD5"/>
    <w:rsid w:val="A4FEFFF6"/>
    <w:rsid w:val="A66DAC8D"/>
    <w:rsid w:val="A777D810"/>
    <w:rsid w:val="A7BDCAB5"/>
    <w:rsid w:val="A7EBE997"/>
    <w:rsid w:val="A885EE2E"/>
    <w:rsid w:val="AB798BD6"/>
    <w:rsid w:val="AB7FFAF0"/>
    <w:rsid w:val="ABBBED55"/>
    <w:rsid w:val="ABBDDC74"/>
    <w:rsid w:val="ABDF3644"/>
    <w:rsid w:val="AEFC4152"/>
    <w:rsid w:val="AFAE8908"/>
    <w:rsid w:val="AFF6335B"/>
    <w:rsid w:val="B3F955B7"/>
    <w:rsid w:val="B3FE788D"/>
    <w:rsid w:val="B3FF51BA"/>
    <w:rsid w:val="B5FB5600"/>
    <w:rsid w:val="B6CB3DF7"/>
    <w:rsid w:val="B6D310AC"/>
    <w:rsid w:val="B6F7AE27"/>
    <w:rsid w:val="B6FF0030"/>
    <w:rsid w:val="B72B75C2"/>
    <w:rsid w:val="B77AE920"/>
    <w:rsid w:val="B7D20D76"/>
    <w:rsid w:val="B7DFB58F"/>
    <w:rsid w:val="B7EF8B04"/>
    <w:rsid w:val="B7F7F511"/>
    <w:rsid w:val="B7FE3E2D"/>
    <w:rsid w:val="B97D852E"/>
    <w:rsid w:val="B9D51B91"/>
    <w:rsid w:val="B9F14318"/>
    <w:rsid w:val="BB4F7C8F"/>
    <w:rsid w:val="BBAFD4A2"/>
    <w:rsid w:val="BBB4F4EE"/>
    <w:rsid w:val="BBBBF401"/>
    <w:rsid w:val="BBC7EC27"/>
    <w:rsid w:val="BBF58195"/>
    <w:rsid w:val="BC6D7FE1"/>
    <w:rsid w:val="BCDF385E"/>
    <w:rsid w:val="BDD7169D"/>
    <w:rsid w:val="BDFDB599"/>
    <w:rsid w:val="BDFF1019"/>
    <w:rsid w:val="BE3FAE8A"/>
    <w:rsid w:val="BE4DDD37"/>
    <w:rsid w:val="BE5FDF97"/>
    <w:rsid w:val="BEBF76AD"/>
    <w:rsid w:val="BEEA7F9C"/>
    <w:rsid w:val="BEF7086F"/>
    <w:rsid w:val="BEFD8F0A"/>
    <w:rsid w:val="BEFEECAD"/>
    <w:rsid w:val="BF1E8D83"/>
    <w:rsid w:val="BF6AAC21"/>
    <w:rsid w:val="BF6DBB02"/>
    <w:rsid w:val="BF6F9697"/>
    <w:rsid w:val="BF7F65EF"/>
    <w:rsid w:val="BF7F705B"/>
    <w:rsid w:val="BF9AAF73"/>
    <w:rsid w:val="BFBDC10C"/>
    <w:rsid w:val="BFCFC8DD"/>
    <w:rsid w:val="BFD346E4"/>
    <w:rsid w:val="BFD454E1"/>
    <w:rsid w:val="BFD6B559"/>
    <w:rsid w:val="BFDF890F"/>
    <w:rsid w:val="BFEACB59"/>
    <w:rsid w:val="BFFE9F68"/>
    <w:rsid w:val="BFFEC6D4"/>
    <w:rsid w:val="C77A8D99"/>
    <w:rsid w:val="C7BEE38F"/>
    <w:rsid w:val="CBB3FEE0"/>
    <w:rsid w:val="CBBF0F12"/>
    <w:rsid w:val="CBBF3E77"/>
    <w:rsid w:val="CCEFBA45"/>
    <w:rsid w:val="CCFB129B"/>
    <w:rsid w:val="CDFF5A7C"/>
    <w:rsid w:val="CE4BC093"/>
    <w:rsid w:val="CEDB7EA0"/>
    <w:rsid w:val="CEFE6188"/>
    <w:rsid w:val="CF4DE9C4"/>
    <w:rsid w:val="CF649B7E"/>
    <w:rsid w:val="CF87DB53"/>
    <w:rsid w:val="CFBF6F8F"/>
    <w:rsid w:val="CFCEEF9A"/>
    <w:rsid w:val="CFF99042"/>
    <w:rsid w:val="D3DFF216"/>
    <w:rsid w:val="D5A7FB02"/>
    <w:rsid w:val="D67C42A4"/>
    <w:rsid w:val="D6AD6377"/>
    <w:rsid w:val="D7960720"/>
    <w:rsid w:val="D7B9F3FC"/>
    <w:rsid w:val="D7C78C09"/>
    <w:rsid w:val="D7FF703A"/>
    <w:rsid w:val="D7FFAB6D"/>
    <w:rsid w:val="D8DFE739"/>
    <w:rsid w:val="D95FA9EC"/>
    <w:rsid w:val="DABFD5CD"/>
    <w:rsid w:val="DB3F6E8D"/>
    <w:rsid w:val="DBB66283"/>
    <w:rsid w:val="DBBB754E"/>
    <w:rsid w:val="DBF7417A"/>
    <w:rsid w:val="DBFF277B"/>
    <w:rsid w:val="DC3F81AB"/>
    <w:rsid w:val="DCD37F10"/>
    <w:rsid w:val="DD9F495D"/>
    <w:rsid w:val="DDBC2940"/>
    <w:rsid w:val="DDFECE5F"/>
    <w:rsid w:val="DE7F20D7"/>
    <w:rsid w:val="DE9B105B"/>
    <w:rsid w:val="DEF7B464"/>
    <w:rsid w:val="DEFFBBEA"/>
    <w:rsid w:val="DF0FDED3"/>
    <w:rsid w:val="DF1C9C92"/>
    <w:rsid w:val="DF3DB5E6"/>
    <w:rsid w:val="DF4EB13F"/>
    <w:rsid w:val="DF5C6625"/>
    <w:rsid w:val="DF7D3A12"/>
    <w:rsid w:val="DF7DB0B7"/>
    <w:rsid w:val="DF7F0ABD"/>
    <w:rsid w:val="DF7F4B8C"/>
    <w:rsid w:val="DF8D7B58"/>
    <w:rsid w:val="DF8FDD33"/>
    <w:rsid w:val="DF9BC8AD"/>
    <w:rsid w:val="DFB3BDA9"/>
    <w:rsid w:val="DFDAF85D"/>
    <w:rsid w:val="DFDEA627"/>
    <w:rsid w:val="DFECB8C6"/>
    <w:rsid w:val="DFEF0055"/>
    <w:rsid w:val="DFF7CDB6"/>
    <w:rsid w:val="DFFBAADC"/>
    <w:rsid w:val="DFFDD2C2"/>
    <w:rsid w:val="DFFEE92C"/>
    <w:rsid w:val="DFFF1C60"/>
    <w:rsid w:val="E1DFB8E9"/>
    <w:rsid w:val="E2E70AA2"/>
    <w:rsid w:val="E2EE661A"/>
    <w:rsid w:val="E3BEC65B"/>
    <w:rsid w:val="E53D64C6"/>
    <w:rsid w:val="E6174BEE"/>
    <w:rsid w:val="E6B6490C"/>
    <w:rsid w:val="E6BB711C"/>
    <w:rsid w:val="E6FDCF0F"/>
    <w:rsid w:val="E6FF4386"/>
    <w:rsid w:val="E77F0952"/>
    <w:rsid w:val="E78F32E5"/>
    <w:rsid w:val="E79967B8"/>
    <w:rsid w:val="E7AB0977"/>
    <w:rsid w:val="E7DDA08D"/>
    <w:rsid w:val="E7DECC01"/>
    <w:rsid w:val="E7FB1A64"/>
    <w:rsid w:val="E8DC4981"/>
    <w:rsid w:val="E91DF6AB"/>
    <w:rsid w:val="E986DB6E"/>
    <w:rsid w:val="E9BB4667"/>
    <w:rsid w:val="E9BD9F45"/>
    <w:rsid w:val="E9FF2026"/>
    <w:rsid w:val="E9FF309B"/>
    <w:rsid w:val="EA4E27D5"/>
    <w:rsid w:val="EA5B6B8E"/>
    <w:rsid w:val="EADC0408"/>
    <w:rsid w:val="EAF5B7FD"/>
    <w:rsid w:val="EBB3B6CA"/>
    <w:rsid w:val="EBBF4D2C"/>
    <w:rsid w:val="EBDB0EFE"/>
    <w:rsid w:val="EBDB5C0F"/>
    <w:rsid w:val="EBDF5DD2"/>
    <w:rsid w:val="EBEB61BB"/>
    <w:rsid w:val="EBFE6DCA"/>
    <w:rsid w:val="EBFF9B53"/>
    <w:rsid w:val="EBFFC415"/>
    <w:rsid w:val="ECBF3423"/>
    <w:rsid w:val="ECFB1980"/>
    <w:rsid w:val="ED3BEB49"/>
    <w:rsid w:val="ED75AAE5"/>
    <w:rsid w:val="EDFB6C97"/>
    <w:rsid w:val="EDFFB9A5"/>
    <w:rsid w:val="EEBF7233"/>
    <w:rsid w:val="EEF11776"/>
    <w:rsid w:val="EEF458E8"/>
    <w:rsid w:val="EEFE4501"/>
    <w:rsid w:val="EF1BD049"/>
    <w:rsid w:val="EF6D4A02"/>
    <w:rsid w:val="EF7EFAD6"/>
    <w:rsid w:val="EF7FE721"/>
    <w:rsid w:val="EFAE973F"/>
    <w:rsid w:val="EFAF2DA5"/>
    <w:rsid w:val="EFB78809"/>
    <w:rsid w:val="EFBF2EC1"/>
    <w:rsid w:val="EFBFF0AB"/>
    <w:rsid w:val="EFC963F8"/>
    <w:rsid w:val="EFCB90BF"/>
    <w:rsid w:val="EFD7AD12"/>
    <w:rsid w:val="EFDD17F9"/>
    <w:rsid w:val="EFE750DA"/>
    <w:rsid w:val="EFE80B15"/>
    <w:rsid w:val="EFEE1752"/>
    <w:rsid w:val="EFFB1F1F"/>
    <w:rsid w:val="EFFEC26D"/>
    <w:rsid w:val="F145FC45"/>
    <w:rsid w:val="F173CCE9"/>
    <w:rsid w:val="F1BFB06E"/>
    <w:rsid w:val="F2EDE482"/>
    <w:rsid w:val="F2FF6BE3"/>
    <w:rsid w:val="F3767162"/>
    <w:rsid w:val="F3AF9A61"/>
    <w:rsid w:val="F3BF74D8"/>
    <w:rsid w:val="F3DE2AB9"/>
    <w:rsid w:val="F3DE9832"/>
    <w:rsid w:val="F3F283FB"/>
    <w:rsid w:val="F3F99776"/>
    <w:rsid w:val="F3FCC090"/>
    <w:rsid w:val="F3FF2F8A"/>
    <w:rsid w:val="F53F56A8"/>
    <w:rsid w:val="F57F304D"/>
    <w:rsid w:val="F5BE960D"/>
    <w:rsid w:val="F5DB927C"/>
    <w:rsid w:val="F5DD212C"/>
    <w:rsid w:val="F5DECC2A"/>
    <w:rsid w:val="F5DFD1F3"/>
    <w:rsid w:val="F5E6A486"/>
    <w:rsid w:val="F5E94563"/>
    <w:rsid w:val="F66F3D6C"/>
    <w:rsid w:val="F67A9775"/>
    <w:rsid w:val="F6AEB65E"/>
    <w:rsid w:val="F6DB9D3D"/>
    <w:rsid w:val="F6DF2FBE"/>
    <w:rsid w:val="F7479678"/>
    <w:rsid w:val="F75ED5E2"/>
    <w:rsid w:val="F7763D6C"/>
    <w:rsid w:val="F77703AD"/>
    <w:rsid w:val="F77EDF8D"/>
    <w:rsid w:val="F7888C55"/>
    <w:rsid w:val="F796736B"/>
    <w:rsid w:val="F797FE9B"/>
    <w:rsid w:val="F7B3B848"/>
    <w:rsid w:val="F7CF0336"/>
    <w:rsid w:val="F7CF3E87"/>
    <w:rsid w:val="F7D74108"/>
    <w:rsid w:val="F7D8581E"/>
    <w:rsid w:val="F7E3CEF7"/>
    <w:rsid w:val="F7F0750C"/>
    <w:rsid w:val="F7F7AD53"/>
    <w:rsid w:val="F7F7F7CE"/>
    <w:rsid w:val="F7F7FEF0"/>
    <w:rsid w:val="F7F9E4E1"/>
    <w:rsid w:val="F7FB1FA9"/>
    <w:rsid w:val="F7FB8DB6"/>
    <w:rsid w:val="F7FFB6FD"/>
    <w:rsid w:val="F8AC9818"/>
    <w:rsid w:val="F933C766"/>
    <w:rsid w:val="F97D170F"/>
    <w:rsid w:val="F97F216D"/>
    <w:rsid w:val="F995F11D"/>
    <w:rsid w:val="F9DC179B"/>
    <w:rsid w:val="F9DF33BD"/>
    <w:rsid w:val="F9EFC2F7"/>
    <w:rsid w:val="F9FF5B8A"/>
    <w:rsid w:val="FA1FA38F"/>
    <w:rsid w:val="FA8D19EC"/>
    <w:rsid w:val="FABE86F2"/>
    <w:rsid w:val="FACD346A"/>
    <w:rsid w:val="FADC6F4E"/>
    <w:rsid w:val="FB3D0CE0"/>
    <w:rsid w:val="FB7A2927"/>
    <w:rsid w:val="FB93D868"/>
    <w:rsid w:val="FBCFAE87"/>
    <w:rsid w:val="FBD5980E"/>
    <w:rsid w:val="FBDD152E"/>
    <w:rsid w:val="FBEDAEF3"/>
    <w:rsid w:val="FBEF2AEF"/>
    <w:rsid w:val="FBF35E68"/>
    <w:rsid w:val="FBF75AE3"/>
    <w:rsid w:val="FBFB5101"/>
    <w:rsid w:val="FBFD3219"/>
    <w:rsid w:val="FBFD7E34"/>
    <w:rsid w:val="FBFE0426"/>
    <w:rsid w:val="FBFEC862"/>
    <w:rsid w:val="FBFF4F5A"/>
    <w:rsid w:val="FBFFD110"/>
    <w:rsid w:val="FC711372"/>
    <w:rsid w:val="FC7EE724"/>
    <w:rsid w:val="FCB587EF"/>
    <w:rsid w:val="FCBBE86E"/>
    <w:rsid w:val="FCBEE388"/>
    <w:rsid w:val="FCCA8B5D"/>
    <w:rsid w:val="FCFE6B59"/>
    <w:rsid w:val="FD29CD9D"/>
    <w:rsid w:val="FD2DC3AE"/>
    <w:rsid w:val="FD36C412"/>
    <w:rsid w:val="FD3F5A4A"/>
    <w:rsid w:val="FD6BAC5A"/>
    <w:rsid w:val="FD7587C7"/>
    <w:rsid w:val="FD7F09F7"/>
    <w:rsid w:val="FD7F17C6"/>
    <w:rsid w:val="FD7F51AD"/>
    <w:rsid w:val="FDAF77DE"/>
    <w:rsid w:val="FDDB50F3"/>
    <w:rsid w:val="FDDFDAEE"/>
    <w:rsid w:val="FDEF98E9"/>
    <w:rsid w:val="FDF9B085"/>
    <w:rsid w:val="FDFCC0D9"/>
    <w:rsid w:val="FDFE7A12"/>
    <w:rsid w:val="FDFF1FCF"/>
    <w:rsid w:val="FE0EFF75"/>
    <w:rsid w:val="FE1E2A72"/>
    <w:rsid w:val="FE576370"/>
    <w:rsid w:val="FE5F3920"/>
    <w:rsid w:val="FE7B5506"/>
    <w:rsid w:val="FEAEDB8B"/>
    <w:rsid w:val="FEB9C514"/>
    <w:rsid w:val="FED715D5"/>
    <w:rsid w:val="FEDD2826"/>
    <w:rsid w:val="FEDF7AB2"/>
    <w:rsid w:val="FEDFE921"/>
    <w:rsid w:val="FEED303A"/>
    <w:rsid w:val="FEEFFFDA"/>
    <w:rsid w:val="FEF31998"/>
    <w:rsid w:val="FEF5D5C7"/>
    <w:rsid w:val="FEF9446D"/>
    <w:rsid w:val="FEFB3533"/>
    <w:rsid w:val="FEFD8B61"/>
    <w:rsid w:val="FEFDD2C7"/>
    <w:rsid w:val="FEFDD35F"/>
    <w:rsid w:val="FEFE6468"/>
    <w:rsid w:val="FEFE8790"/>
    <w:rsid w:val="FEFFBB7F"/>
    <w:rsid w:val="FEFFD1A3"/>
    <w:rsid w:val="FF3B4F8B"/>
    <w:rsid w:val="FF3D080C"/>
    <w:rsid w:val="FF6CD82C"/>
    <w:rsid w:val="FF6F6E8D"/>
    <w:rsid w:val="FF7A8016"/>
    <w:rsid w:val="FF7B1738"/>
    <w:rsid w:val="FF7D31BE"/>
    <w:rsid w:val="FF7DB82E"/>
    <w:rsid w:val="FF8C1464"/>
    <w:rsid w:val="FF963C1B"/>
    <w:rsid w:val="FF976CA3"/>
    <w:rsid w:val="FF9AB92E"/>
    <w:rsid w:val="FFA20E0F"/>
    <w:rsid w:val="FFA3A5EF"/>
    <w:rsid w:val="FFAAEEB4"/>
    <w:rsid w:val="FFB68B70"/>
    <w:rsid w:val="FFBA623B"/>
    <w:rsid w:val="FFBB0ABC"/>
    <w:rsid w:val="FFBFED54"/>
    <w:rsid w:val="FFCF8385"/>
    <w:rsid w:val="FFDB04B2"/>
    <w:rsid w:val="FFDE7DA3"/>
    <w:rsid w:val="FFDF800E"/>
    <w:rsid w:val="FFE637DE"/>
    <w:rsid w:val="FFE92361"/>
    <w:rsid w:val="FFED2A8C"/>
    <w:rsid w:val="FFED38B5"/>
    <w:rsid w:val="FFEEAB5C"/>
    <w:rsid w:val="FFEF0402"/>
    <w:rsid w:val="FFEFF6F4"/>
    <w:rsid w:val="FFF59978"/>
    <w:rsid w:val="FFF8864C"/>
    <w:rsid w:val="FFFC2023"/>
    <w:rsid w:val="FFFCBA4B"/>
    <w:rsid w:val="FFFDDEE3"/>
    <w:rsid w:val="FFFDF34C"/>
    <w:rsid w:val="FFFDFF17"/>
    <w:rsid w:val="FFFE275F"/>
    <w:rsid w:val="FFFEAB3E"/>
    <w:rsid w:val="FFFF85DE"/>
    <w:rsid w:val="FFFF9DF6"/>
    <w:rsid w:val="FFFFB0DD"/>
    <w:rsid w:val="FFFFCC41"/>
    <w:rsid w:val="FFFFD032"/>
    <w:rsid w:val="FFFFE3E3"/>
    <w:rsid w:val="FFFFE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1"/>
    <w:uiPriority w:val="0"/>
    <w:rPr>
      <w:rFonts w:eastAsia="文星仿宋"/>
      <w:sz w:val="32"/>
    </w:rPr>
  </w:style>
  <w:style w:type="paragraph" w:styleId="3">
    <w:name w:val="Date"/>
    <w:basedOn w:val="1"/>
    <w:next w:val="1"/>
    <w:qFormat/>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uiPriority w:val="0"/>
    <w:rPr>
      <w:color w:val="0000FF"/>
      <w:u w:val="single"/>
    </w:rPr>
  </w:style>
  <w:style w:type="character" w:customStyle="1" w:styleId="11">
    <w:name w:val="正文文本 Char"/>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11</Pages>
  <Words>4982</Words>
  <Characters>5008</Characters>
  <Lines>36</Lines>
  <Paragraphs>10</Paragraphs>
  <TotalTime>1</TotalTime>
  <ScaleCrop>false</ScaleCrop>
  <LinksUpToDate>false</LinksUpToDate>
  <CharactersWithSpaces>5058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2014-06-25T16:51:00Z</dcterms:created>
  <dc:creator>jsj</dc:creator>
  <cp:lastModifiedBy>Mona</cp:lastModifiedBy>
  <cp:lastPrinted>2026-07-28T23:15:00Z</cp:lastPrinted>
  <dcterms:modified xsi:type="dcterms:W3CDTF">2026-07-30T07:06:33Z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D9AC879658244B44BB0F28FEE99FEF4D_13</vt:lpwstr>
  </property>
  <property fmtid="{D5CDD505-2E9C-101B-9397-08002B2CF9AE}" pid="4" name="KSOTemplateDocerSaveRecord">
    <vt:lpwstr>eyJoZGlkIjoiMmZjZDY2MmM0ZGU4OTQ1NDBmOWM3ZTg2ZmJlNGY5ZmMiLCJ1c2VySWQiOiI4ODIzMzI0NzEifQ==</vt:lpwstr>
  </property>
</Properties>
</file>