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napToGrid w:val="0"/>
        <w:spacing w:line="280" w:lineRule="exact"/>
        <w:jc w:val="both"/>
        <w:rPr>
          <w:rFonts w:eastAsia="仿宋_GB2312"/>
          <w:szCs w:val="32"/>
        </w:rPr>
      </w:pPr>
    </w:p>
    <w:p>
      <w:pPr>
        <w:pStyle w:val="2"/>
        <w:snapToGrid w:val="0"/>
        <w:jc w:val="center"/>
        <w:rPr>
          <w:rStyle w:val="10"/>
          <w:rFonts w:hint="eastAsia" w:ascii="方正小标宋简体" w:hAnsi="方正小标宋_GBK" w:eastAsia="方正小标宋简体" w:cs="方正小标宋_GBK"/>
          <w:color w:val="auto"/>
          <w:sz w:val="44"/>
          <w:szCs w:val="44"/>
          <w:u w:val="none"/>
        </w:rPr>
      </w:pPr>
      <w:r>
        <w:rPr>
          <w:rStyle w:val="10"/>
          <w:rFonts w:hint="eastAsia" w:ascii="方正小标宋简体" w:hAnsi="方正小标宋_GBK" w:eastAsia="方正小标宋简体" w:cs="方正小标宋_GBK"/>
          <w:color w:val="auto"/>
          <w:sz w:val="44"/>
          <w:szCs w:val="44"/>
          <w:u w:val="none"/>
        </w:rPr>
        <w:t>天津市人民政府办公厅关于印发天津市</w:t>
      </w:r>
    </w:p>
    <w:p>
      <w:pPr>
        <w:pStyle w:val="2"/>
        <w:snapToGrid w:val="0"/>
        <w:jc w:val="center"/>
        <w:rPr>
          <w:rStyle w:val="10"/>
          <w:rFonts w:hint="eastAsia" w:ascii="方正小标宋简体" w:hAnsi="方正小标宋_GBK" w:eastAsia="方正小标宋简体" w:cs="方正小标宋_GBK"/>
          <w:color w:val="auto"/>
          <w:sz w:val="44"/>
          <w:szCs w:val="44"/>
          <w:u w:val="none"/>
        </w:rPr>
      </w:pPr>
      <w:r>
        <w:rPr>
          <w:rStyle w:val="10"/>
          <w:rFonts w:hint="eastAsia" w:ascii="方正小标宋简体" w:hAnsi="方正小标宋_GBK" w:eastAsia="方正小标宋简体" w:cs="方正小标宋_GBK"/>
          <w:color w:val="auto"/>
          <w:sz w:val="44"/>
          <w:szCs w:val="44"/>
          <w:u w:val="none"/>
        </w:rPr>
        <w:t>健全“高效办成一件事”重点事项常态化</w:t>
      </w:r>
    </w:p>
    <w:p>
      <w:pPr>
        <w:pStyle w:val="2"/>
        <w:snapToGrid w:val="0"/>
        <w:jc w:val="center"/>
        <w:rPr>
          <w:rStyle w:val="10"/>
          <w:rFonts w:hint="eastAsia" w:ascii="方正小标宋简体" w:hAnsi="方正小标宋_GBK" w:eastAsia="方正小标宋简体" w:cs="方正小标宋_GBK"/>
          <w:color w:val="auto"/>
          <w:sz w:val="44"/>
          <w:szCs w:val="44"/>
          <w:u w:val="none"/>
        </w:rPr>
      </w:pPr>
      <w:r>
        <w:rPr>
          <w:rStyle w:val="10"/>
          <w:rFonts w:hint="eastAsia" w:ascii="方正小标宋简体" w:hAnsi="方正小标宋_GBK" w:eastAsia="方正小标宋简体" w:cs="方正小标宋_GBK"/>
          <w:color w:val="auto"/>
          <w:sz w:val="44"/>
          <w:szCs w:val="44"/>
          <w:u w:val="none"/>
        </w:rPr>
        <w:t>推进机制提升政务服务效能若干措施的通知</w:t>
      </w:r>
    </w:p>
    <w:p>
      <w:pPr>
        <w:pStyle w:val="2"/>
        <w:snapToGrid w:val="0"/>
        <w:rPr>
          <w:rFonts w:ascii="仿宋_GB2312" w:hAnsi="仿宋_GB2312" w:eastAsia="仿宋_GB2312" w:cs="仿宋_GB2312"/>
          <w:szCs w:val="32"/>
        </w:rPr>
      </w:pPr>
    </w:p>
    <w:p>
      <w:pPr>
        <w:pStyle w:val="2"/>
        <w:rPr>
          <w:rFonts w:ascii="仿宋_GB2312" w:eastAsia="仿宋_GB2312"/>
        </w:rPr>
      </w:pPr>
      <w:r>
        <w:rPr>
          <w:rFonts w:hint="eastAsia" w:ascii="仿宋_GB2312" w:eastAsia="仿宋_GB2312"/>
        </w:rPr>
        <w:t>各区人民政府，市政府各委、办、局：</w:t>
      </w:r>
    </w:p>
    <w:p>
      <w:pPr>
        <w:pStyle w:val="2"/>
        <w:ind w:firstLine="612" w:firstLineChars="196"/>
        <w:rPr>
          <w:rFonts w:eastAsia="仿宋_GB2312"/>
          <w:szCs w:val="32"/>
        </w:rPr>
      </w:pPr>
      <w:r>
        <w:rPr>
          <w:rFonts w:hint="eastAsia" w:eastAsia="仿宋_GB2312"/>
          <w:szCs w:val="32"/>
        </w:rPr>
        <w:t>经市人民政府同意，现将《天津市健全“高效办成一件事”重点事项常态化推进机制提升政务服务效能若干措施》印发给你们，请照此执行。</w:t>
      </w:r>
    </w:p>
    <w:p>
      <w:pPr>
        <w:pStyle w:val="2"/>
        <w:rPr>
          <w:rFonts w:eastAsia="仿宋_GB2312"/>
          <w:szCs w:val="32"/>
        </w:rPr>
      </w:pPr>
    </w:p>
    <w:p>
      <w:pPr>
        <w:pStyle w:val="2"/>
        <w:keepNext w:val="0"/>
        <w:keepLines w:val="0"/>
        <w:pageBreakBefore w:val="0"/>
        <w:widowControl w:val="0"/>
        <w:kinsoku/>
        <w:overflowPunct/>
        <w:topLinePunct w:val="0"/>
        <w:autoSpaceDE/>
        <w:autoSpaceDN/>
        <w:bidi w:val="0"/>
        <w:adjustRightInd/>
        <w:snapToGrid/>
        <w:spacing w:line="360" w:lineRule="auto"/>
        <w:ind w:firstLine="4680" w:firstLineChars="1500"/>
        <w:jc w:val="both"/>
        <w:textAlignment w:val="auto"/>
        <w:rPr>
          <w:rFonts w:hint="default" w:eastAsia="仿宋_GB2312"/>
          <w:szCs w:val="32"/>
          <w:lang w:val="en-US"/>
        </w:rPr>
      </w:pPr>
      <w:r>
        <w:rPr>
          <w:rFonts w:hint="eastAsia" w:ascii="Times New Roman" w:hAnsi="Times New Roman" w:eastAsia="仿宋_GB2312"/>
          <w:szCs w:val="32"/>
          <w:lang w:val="en-US" w:eastAsia="zh-CN"/>
        </w:rPr>
        <w:t>天津市人民政府办公厅</w:t>
      </w:r>
      <w:r>
        <w:rPr>
          <w:rFonts w:hint="eastAsia" w:eastAsia="仿宋_GB2312"/>
          <w:szCs w:val="32"/>
          <w:lang w:val="en-US" w:eastAsia="zh-CN"/>
        </w:rPr>
        <w:t xml:space="preserve"> </w:t>
      </w:r>
    </w:p>
    <w:p>
      <w:pPr>
        <w:pStyle w:val="2"/>
        <w:wordWrap w:val="0"/>
        <w:spacing w:line="320" w:lineRule="exact"/>
        <w:jc w:val="right"/>
        <w:rPr>
          <w:rFonts w:hint="eastAsia" w:eastAsia="仿宋_GB2312"/>
          <w:szCs w:val="32"/>
        </w:rPr>
      </w:pPr>
      <w:r>
        <w:rPr>
          <w:rFonts w:eastAsia="仿宋_GB2312"/>
          <w:szCs w:val="32"/>
        </w:rPr>
        <w:t>2026</w:t>
      </w:r>
      <w:r>
        <w:rPr>
          <w:rFonts w:hint="eastAsia" w:eastAsia="仿宋_GB2312"/>
          <w:szCs w:val="32"/>
        </w:rPr>
        <w:t>年</w:t>
      </w:r>
      <w:r>
        <w:rPr>
          <w:rFonts w:eastAsia="仿宋_GB2312"/>
          <w:szCs w:val="32"/>
        </w:rPr>
        <w:t>6</w:t>
      </w:r>
      <w:r>
        <w:rPr>
          <w:rFonts w:hint="eastAsia" w:eastAsia="仿宋_GB2312"/>
          <w:szCs w:val="32"/>
        </w:rPr>
        <w:t>月</w:t>
      </w:r>
      <w:r>
        <w:rPr>
          <w:rFonts w:eastAsia="仿宋_GB2312"/>
          <w:szCs w:val="32"/>
        </w:rPr>
        <w:t>26</w:t>
      </w:r>
      <w:r>
        <w:rPr>
          <w:rFonts w:hint="eastAsia" w:eastAsia="仿宋_GB2312"/>
          <w:szCs w:val="32"/>
        </w:rPr>
        <w:t xml:space="preserve">日        </w:t>
      </w:r>
    </w:p>
    <w:p>
      <w:pPr>
        <w:pStyle w:val="2"/>
        <w:spacing w:line="320" w:lineRule="exact"/>
        <w:rPr>
          <w:rFonts w:eastAsia="仿宋_GB2312"/>
          <w:szCs w:val="32"/>
        </w:rPr>
      </w:pPr>
      <w:r>
        <w:rPr>
          <w:rFonts w:hint="eastAsia" w:eastAsia="仿宋_GB2312"/>
          <w:szCs w:val="32"/>
        </w:rPr>
        <w:t xml:space="preserve">    （此件主动公开）</w:t>
      </w:r>
    </w:p>
    <w:p>
      <w:pPr>
        <w:pStyle w:val="2"/>
        <w:wordWrap/>
        <w:spacing w:line="320" w:lineRule="exact"/>
        <w:jc w:val="right"/>
        <w:rPr>
          <w:rFonts w:hint="eastAsia" w:eastAsia="仿宋_GB2312"/>
          <w:szCs w:val="32"/>
        </w:rPr>
      </w:pPr>
      <w:bookmarkStart w:id="0" w:name="_GoBack"/>
      <w:bookmarkEnd w:id="0"/>
    </w:p>
    <w:p>
      <w:pPr>
        <w:pStyle w:val="2"/>
        <w:snapToGrid w:val="0"/>
        <w:jc w:val="center"/>
        <w:rPr>
          <w:rFonts w:hint="eastAsia" w:ascii="方正小标宋_GBK" w:hAnsi="方正小标宋_GBK" w:eastAsia="方正小标宋_GBK" w:cs="方正小标宋_GBK"/>
          <w:sz w:val="44"/>
          <w:szCs w:val="44"/>
        </w:rPr>
        <w:sectPr>
          <w:headerReference r:id="rId3" w:type="default"/>
          <w:footerReference r:id="rId4" w:type="default"/>
          <w:footerReference r:id="rId5" w:type="even"/>
          <w:pgSz w:w="11907" w:h="16840"/>
          <w:pgMar w:top="2098" w:right="1474" w:bottom="1985" w:left="1588" w:header="851" w:footer="1701" w:gutter="0"/>
          <w:cols w:space="720" w:num="1"/>
          <w:docGrid w:type="linesAndChars" w:linePitch="289" w:charSpace="-1839"/>
        </w:sectPr>
      </w:pPr>
    </w:p>
    <w:p>
      <w:pPr>
        <w:pStyle w:val="2"/>
        <w:snapToGrid w:val="0"/>
        <w:jc w:val="center"/>
        <w:rPr>
          <w:rStyle w:val="10"/>
          <w:rFonts w:hint="eastAsia" w:ascii="方正小标宋简体" w:hAnsi="方正小标宋_GBK" w:eastAsia="方正小标宋简体" w:cs="方正小标宋_GBK"/>
          <w:color w:val="auto"/>
          <w:sz w:val="44"/>
          <w:szCs w:val="44"/>
          <w:u w:val="none"/>
        </w:rPr>
      </w:pPr>
      <w:r>
        <w:rPr>
          <w:rStyle w:val="10"/>
          <w:rFonts w:hint="eastAsia" w:ascii="方正小标宋简体" w:hAnsi="方正小标宋_GBK" w:eastAsia="方正小标宋简体" w:cs="方正小标宋_GBK"/>
          <w:color w:val="auto"/>
          <w:sz w:val="44"/>
          <w:szCs w:val="44"/>
          <w:u w:val="none"/>
        </w:rPr>
        <w:t>天津市健全“高效办成一件事”重点事项</w:t>
      </w:r>
    </w:p>
    <w:p>
      <w:pPr>
        <w:pStyle w:val="2"/>
        <w:snapToGrid w:val="0"/>
        <w:jc w:val="center"/>
        <w:rPr>
          <w:rFonts w:ascii="方正小标宋_GBK" w:hAnsi="方正小标宋_GBK" w:eastAsia="方正小标宋_GBK" w:cs="方正小标宋_GBK"/>
          <w:sz w:val="44"/>
          <w:szCs w:val="44"/>
        </w:rPr>
      </w:pPr>
      <w:r>
        <w:rPr>
          <w:rStyle w:val="10"/>
          <w:rFonts w:hint="eastAsia" w:ascii="方正小标宋简体" w:hAnsi="方正小标宋_GBK" w:eastAsia="方正小标宋简体" w:cs="方正小标宋_GBK"/>
          <w:color w:val="auto"/>
          <w:sz w:val="44"/>
          <w:szCs w:val="44"/>
          <w:u w:val="none"/>
        </w:rPr>
        <w:t>常态化推进机制提升政务服务效能若干措施</w:t>
      </w:r>
    </w:p>
    <w:p>
      <w:pPr>
        <w:pStyle w:val="2"/>
        <w:snapToGrid w:val="0"/>
        <w:ind w:firstLine="624" w:firstLineChars="200"/>
        <w:rPr>
          <w:rFonts w:eastAsia="仿宋_GB2312"/>
          <w:szCs w:val="32"/>
        </w:rPr>
      </w:pPr>
    </w:p>
    <w:p>
      <w:pPr>
        <w:pStyle w:val="2"/>
        <w:ind w:firstLine="624" w:firstLineChars="200"/>
        <w:rPr>
          <w:rFonts w:ascii="仿宋_GB2312" w:hAnsi="仿宋_GB2312" w:eastAsia="仿宋_GB2312" w:cs="仿宋_GB2312"/>
          <w:szCs w:val="32"/>
        </w:rPr>
      </w:pPr>
      <w:r>
        <w:rPr>
          <w:rFonts w:hint="eastAsia" w:ascii="仿宋_GB2312" w:hAnsi="仿宋_GB2312" w:eastAsia="仿宋_GB2312" w:cs="仿宋_GB2312"/>
          <w:szCs w:val="32"/>
        </w:rPr>
        <w:t>为深入贯彻落实党中央、国务院关于优化政务服务、提升行政效能的决策部署，推动“高效办成一件事”重点事项（以下简称重点事项）常态化实施，制定如下措施。</w:t>
      </w:r>
    </w:p>
    <w:p>
      <w:pPr>
        <w:pStyle w:val="2"/>
        <w:ind w:firstLine="624" w:firstLineChars="200"/>
        <w:rPr>
          <w:rFonts w:ascii="黑体" w:hAnsi="黑体" w:eastAsia="黑体" w:cs="黑体"/>
          <w:szCs w:val="32"/>
        </w:rPr>
      </w:pPr>
      <w:r>
        <w:rPr>
          <w:rFonts w:hint="eastAsia" w:ascii="黑体" w:hAnsi="黑体" w:eastAsia="黑体" w:cs="黑体"/>
          <w:szCs w:val="32"/>
        </w:rPr>
        <w:t>一、加强重点事项清单管理</w:t>
      </w:r>
    </w:p>
    <w:p>
      <w:pPr>
        <w:pStyle w:val="2"/>
        <w:ind w:firstLine="624" w:firstLineChars="200"/>
        <w:rPr>
          <w:rFonts w:ascii="仿宋_GB2312" w:hAnsi="仿宋_GB2312" w:eastAsia="仿宋_GB2312" w:cs="仿宋_GB2312"/>
          <w:szCs w:val="32"/>
        </w:rPr>
      </w:pPr>
      <w:r>
        <w:rPr>
          <w:rFonts w:ascii="楷体_GB2312" w:hAnsi="楷体_GB2312" w:eastAsia="楷体_GB2312" w:cs="楷体_GB2312"/>
          <w:szCs w:val="32"/>
        </w:rPr>
        <w:t>（一）落实国家重点事项清单。</w:t>
      </w:r>
      <w:r>
        <w:rPr>
          <w:rFonts w:ascii="仿宋_GB2312" w:hAnsi="仿宋_GB2312" w:eastAsia="仿宋_GB2312" w:cs="仿宋_GB2312"/>
          <w:szCs w:val="32"/>
        </w:rPr>
        <w:t>全面深化国家年度重点事项“一事项一专班”推进机制建设，逐个事项制定具体落实方案，细化明确实施路径、时间节点、任务分工。围绕经营主体从开办到注销、个人从出生到身后“两个全生命周期”各阶段重点事项，强化跨部门政策、业务、系统协同和数据共享，优化前后置环节，重构跨部门业务办理流程，统筹推进重点事项落地落实。（市政务服务办牵头，各区人民政府、市级有关部门按职责分工负责）</w:t>
      </w:r>
    </w:p>
    <w:p>
      <w:pPr>
        <w:pStyle w:val="2"/>
        <w:ind w:firstLine="624" w:firstLineChars="200"/>
        <w:rPr>
          <w:rFonts w:ascii="仿宋_GB2312" w:hAnsi="仿宋_GB2312" w:eastAsia="仿宋_GB2312" w:cs="仿宋_GB2312"/>
          <w:szCs w:val="32"/>
        </w:rPr>
      </w:pPr>
      <w:r>
        <w:rPr>
          <w:rFonts w:ascii="楷体_GB2312" w:hAnsi="楷体_GB2312" w:eastAsia="楷体_GB2312" w:cs="楷体_GB2312"/>
          <w:szCs w:val="32"/>
        </w:rPr>
        <w:t>（</w:t>
      </w:r>
      <w:r>
        <w:rPr>
          <w:rFonts w:hint="eastAsia" w:ascii="楷体_GB2312" w:hAnsi="楷体_GB2312" w:eastAsia="楷体_GB2312" w:cs="楷体_GB2312"/>
          <w:szCs w:val="32"/>
        </w:rPr>
        <w:t>二</w:t>
      </w:r>
      <w:r>
        <w:rPr>
          <w:rFonts w:ascii="楷体_GB2312" w:hAnsi="楷体_GB2312" w:eastAsia="楷体_GB2312" w:cs="楷体_GB2312"/>
          <w:szCs w:val="32"/>
        </w:rPr>
        <w:t>）深化京津冀政务服务区域协同。</w:t>
      </w:r>
      <w:r>
        <w:rPr>
          <w:rFonts w:ascii="仿宋_GB2312" w:hAnsi="仿宋_GB2312" w:eastAsia="仿宋_GB2312" w:cs="仿宋_GB2312"/>
          <w:szCs w:val="32"/>
        </w:rPr>
        <w:t>用好全程网办、异地代收代办、跨域联办等业务协同模式，探索推进京津冀重点事项跨域通办。提升企业登记注册规范化、便利化水平，实现企业跨省迁移“一地申请、一次办结”。优化异地医保直接结算服务，推进门诊慢特病异地就医直接结算定点医疗机构扩面。推进通武廊地区社保经办系统联通，实现高频社保业务异地受理，提升社保经办服务便捷性。持续推进京津冀资质资格互认扩面增效，扩展京津冀自贸试验区内政务服务“同事同标”事项范围。（市政务服务办、市市场监管委、市医保局、市人社局牵头，市级有关部门、各区人民政府按职责分工负责）</w:t>
      </w:r>
    </w:p>
    <w:p>
      <w:pPr>
        <w:pStyle w:val="2"/>
        <w:ind w:firstLine="624" w:firstLineChars="200"/>
        <w:rPr>
          <w:rFonts w:ascii="仿宋_GB2312" w:hAnsi="仿宋_GB2312" w:eastAsia="仿宋_GB2312" w:cs="仿宋_GB2312"/>
          <w:szCs w:val="32"/>
        </w:rPr>
      </w:pPr>
      <w:r>
        <w:rPr>
          <w:rFonts w:ascii="楷体_GB2312" w:hAnsi="楷体_GB2312" w:eastAsia="楷体_GB2312" w:cs="楷体_GB2312"/>
          <w:szCs w:val="32"/>
        </w:rPr>
        <w:t>（</w:t>
      </w:r>
      <w:r>
        <w:rPr>
          <w:rFonts w:hint="eastAsia" w:ascii="楷体_GB2312" w:hAnsi="楷体_GB2312" w:eastAsia="楷体_GB2312" w:cs="楷体_GB2312"/>
          <w:szCs w:val="32"/>
        </w:rPr>
        <w:t>三</w:t>
      </w:r>
      <w:r>
        <w:rPr>
          <w:rFonts w:ascii="楷体_GB2312" w:hAnsi="楷体_GB2312" w:eastAsia="楷体_GB2312" w:cs="楷体_GB2312"/>
          <w:szCs w:val="32"/>
        </w:rPr>
        <w:t>）建立市级特色事项场景。</w:t>
      </w:r>
      <w:r>
        <w:rPr>
          <w:rFonts w:ascii="仿宋_GB2312" w:hAnsi="仿宋_GB2312" w:eastAsia="仿宋_GB2312" w:cs="仿宋_GB2312"/>
          <w:szCs w:val="32"/>
        </w:rPr>
        <w:t>聚焦经营主体在文化旅游、展览展会、跨境出海等领域，个人在创业就业、公共服务、健康医疗等领域的服务需求，系统梳理一批利企便民、体现天津特色的“高效办成一件事”事项和应用场景，形成市级“高效办成一件事”特色场景清单。鼓励各区结合实际积极探索创新，培育打造区级“高效办成一件事”特色场景，适时将实施效果好、企业和群众认可度高、适合复制推广的纳入市级特色场景清单，形成市区联动、上下贯通、持续优化的“高效办成一件事”工作格局。（市政务服务办、市文化和旅游局、市人社局、市卫生健康委牵头，各区人民政府、市级有关部门按职责分工负责）</w:t>
      </w:r>
    </w:p>
    <w:p>
      <w:pPr>
        <w:pStyle w:val="2"/>
        <w:ind w:firstLine="624" w:firstLineChars="200"/>
        <w:rPr>
          <w:rFonts w:ascii="仿宋_GB2312" w:hAnsi="仿宋_GB2312" w:eastAsia="仿宋_GB2312" w:cs="仿宋_GB2312"/>
          <w:szCs w:val="32"/>
        </w:rPr>
      </w:pPr>
      <w:r>
        <w:rPr>
          <w:rFonts w:ascii="楷体_GB2312" w:hAnsi="楷体_GB2312" w:eastAsia="楷体_GB2312" w:cs="楷体_GB2312"/>
          <w:szCs w:val="32"/>
        </w:rPr>
        <w:t>（四）做好具体事项动态更新。</w:t>
      </w:r>
      <w:r>
        <w:rPr>
          <w:rFonts w:ascii="仿宋_GB2312" w:hAnsi="仿宋_GB2312" w:eastAsia="仿宋_GB2312" w:cs="仿宋_GB2312"/>
          <w:szCs w:val="32"/>
        </w:rPr>
        <w:t>结合政策调整、改革推进以及企业和群众的需求变化，对重点事项清单中的具体事项建立常态化更新、动态优化机制，及时增补、修订并完善具体事项内容。主动运用多元渠道，及时准确推送重点事项及其办理指南，不断提升企业和群众对重点事项的知晓度。（市政务服务办牵头，各区人民政府、市级有关部门按职责分工负责）</w:t>
      </w:r>
    </w:p>
    <w:p>
      <w:pPr>
        <w:pStyle w:val="2"/>
        <w:ind w:firstLine="624" w:firstLineChars="200"/>
        <w:rPr>
          <w:rFonts w:ascii="黑体" w:hAnsi="黑体" w:eastAsia="黑体" w:cs="黑体"/>
          <w:szCs w:val="32"/>
        </w:rPr>
      </w:pPr>
      <w:r>
        <w:rPr>
          <w:rFonts w:ascii="黑体" w:hAnsi="黑体" w:eastAsia="黑体" w:cs="黑体"/>
          <w:szCs w:val="32"/>
        </w:rPr>
        <w:t>二、推进重点事项常态化实施</w:t>
      </w:r>
    </w:p>
    <w:p>
      <w:pPr>
        <w:pStyle w:val="2"/>
        <w:ind w:firstLine="624" w:firstLineChars="200"/>
        <w:rPr>
          <w:rFonts w:ascii="仿宋_GB2312" w:hAnsi="仿宋_GB2312" w:eastAsia="仿宋_GB2312" w:cs="仿宋_GB2312"/>
          <w:szCs w:val="32"/>
        </w:rPr>
      </w:pPr>
      <w:r>
        <w:rPr>
          <w:rFonts w:ascii="楷体_GB2312" w:hAnsi="楷体_GB2312" w:eastAsia="楷体_GB2312" w:cs="楷体_GB2312"/>
          <w:szCs w:val="32"/>
        </w:rPr>
        <w:t>（五）优化重点事项业务办理流程。</w:t>
      </w:r>
      <w:r>
        <w:rPr>
          <w:rFonts w:ascii="仿宋_GB2312" w:hAnsi="仿宋_GB2312" w:eastAsia="仿宋_GB2312" w:cs="仿宋_GB2312"/>
          <w:szCs w:val="32"/>
        </w:rPr>
        <w:t>强化跨部门、跨区域、跨层级办理的关联具体事项集成整合，统一事项名称、申请材料、受理标准、办理流程，实现标准化、集成化、并联式办理。推动人口、法人、电子证照、信用信息等基础库数据依法依规向政务服务场景开放共享，推进各系统间业务数据融合互通，推进企业和个人基本信息高效共享、直接调用、数据免填、材料免交，压减整体办理时长和跑动次数，全面实现关联具体事项“一次告知、一表申请、一套材料、一窗（端）受理、一网办理”。重点事项业务办理应当符合法定权限和相关业务规范，不得违规降低审批标准，同时保障企业和群众自由选择单独或集成办理关联具体事项的权利。（市政务服务办、市数据局牵头，各区人民政府、市级有关部门按职责分工负责）</w:t>
      </w:r>
    </w:p>
    <w:p>
      <w:pPr>
        <w:pStyle w:val="2"/>
        <w:ind w:firstLine="624" w:firstLineChars="200"/>
        <w:rPr>
          <w:rFonts w:ascii="仿宋_GB2312" w:hAnsi="仿宋_GB2312" w:eastAsia="仿宋_GB2312" w:cs="仿宋_GB2312"/>
          <w:szCs w:val="32"/>
        </w:rPr>
      </w:pPr>
      <w:r>
        <w:rPr>
          <w:rFonts w:ascii="楷体_GB2312" w:hAnsi="楷体_GB2312" w:eastAsia="楷体_GB2312" w:cs="楷体_GB2312"/>
          <w:szCs w:val="32"/>
        </w:rPr>
        <w:t>（六）统筹线上办事系统建设。</w:t>
      </w:r>
      <w:r>
        <w:rPr>
          <w:rFonts w:ascii="仿宋_GB2312" w:hAnsi="仿宋_GB2312" w:eastAsia="仿宋_GB2312" w:cs="仿宋_GB2312"/>
          <w:szCs w:val="32"/>
        </w:rPr>
        <w:t>加强政务服务智能中枢平台建设，优化提升天津市一体化政务服务平台功能，做好天津市数字化政务服务“一件事”业务中台升级迭代，推动统一身份认证、电子证照、电子签名等基础服务升级。强化业务系统集约整合与互联互通，推进天津网上办事大厅与“津心办”平台深度融合，规范化、标准化受理不同渠道的同一业务申请，逐步推进网上统一受理端建设。（市政务服务办、市数据局牵头，各区人民政府、市级有关部门按职责分工负责）</w:t>
      </w:r>
    </w:p>
    <w:p>
      <w:pPr>
        <w:pStyle w:val="2"/>
        <w:ind w:firstLine="624" w:firstLineChars="200"/>
        <w:rPr>
          <w:rFonts w:ascii="仿宋_GB2312" w:hAnsi="仿宋_GB2312" w:eastAsia="仿宋_GB2312" w:cs="仿宋_GB2312"/>
          <w:szCs w:val="32"/>
        </w:rPr>
      </w:pPr>
      <w:r>
        <w:rPr>
          <w:rFonts w:ascii="楷体_GB2312" w:hAnsi="楷体_GB2312" w:eastAsia="楷体_GB2312" w:cs="楷体_GB2312"/>
          <w:szCs w:val="32"/>
        </w:rPr>
        <w:t>（七）优化提升线下服务水平。</w:t>
      </w:r>
      <w:r>
        <w:rPr>
          <w:rFonts w:ascii="仿宋_GB2312" w:hAnsi="仿宋_GB2312" w:eastAsia="仿宋_GB2312" w:cs="仿宋_GB2312"/>
          <w:szCs w:val="32"/>
        </w:rPr>
        <w:t>科学统筹线下政务服务供给，按照因地制宜、能放尽放的原则，依法依规下放政务服务事项。加强各级政务服务场所一体化管理、服务窗口联动协作，高效整合资源，不断提高运行质效。因地制宜推动重点事项进驻政务服务大厅或公共服务场所，满足企业和群众差异化政务服务需求。各级政务服务中心按需设立增值化服务专区，嵌入政策、法律、人才、金融、科创、知识产权等配套服务，合理设置无差别或分领域综合办事窗口，动态调配服务设备资源，采取预约分流、错峰服务、潮汐窗口等方式提升服务效能。建立政务服务中心窗口人员动态调整机制，择优选派政治素质过硬、业务能力强的工作人员进驻，严格执行首问负责、一次性告知、限时办结等制度要求。（市政务服务办牵头，各区人民政府、市级有关部门按职责分工负责）</w:t>
      </w:r>
    </w:p>
    <w:p>
      <w:pPr>
        <w:pStyle w:val="2"/>
        <w:ind w:firstLine="624" w:firstLineChars="200"/>
        <w:rPr>
          <w:rFonts w:ascii="仿宋_GB2312" w:hAnsi="仿宋_GB2312" w:eastAsia="仿宋_GB2312" w:cs="仿宋_GB2312"/>
          <w:szCs w:val="32"/>
        </w:rPr>
      </w:pPr>
      <w:r>
        <w:rPr>
          <w:rFonts w:ascii="楷体_GB2312" w:hAnsi="楷体_GB2312" w:eastAsia="楷体_GB2312" w:cs="楷体_GB2312"/>
          <w:szCs w:val="32"/>
        </w:rPr>
        <w:t>（八）强化政务数据共享应用。</w:t>
      </w:r>
      <w:r>
        <w:rPr>
          <w:rFonts w:ascii="仿宋_GB2312" w:hAnsi="仿宋_GB2312" w:eastAsia="仿宋_GB2312" w:cs="仿宋_GB2312"/>
          <w:szCs w:val="32"/>
        </w:rPr>
        <w:t>聚焦重点事项常态化实施，系统梳理跨部门、跨层级数据需求，推动公安、民政、人社、卫生健康、市场监管等领域关键数据按需共享、精准调用，更好推动业务联办与流程再造。依托市信息资源统一共享交换平台，推动住房建设、城市管理、交通运输等部门数据向各区回流，实现“数据多跑路、群众少跑腿”。强化数据安全与隐私保护，规范政务数据共享使用流程，加强全流程安全管理，做好商业秘密、个人信息等数据脱敏处理和加密保护。（市数据局牵头，各区人民政府、市级有关部门按职责分工负责）</w:t>
      </w:r>
    </w:p>
    <w:p>
      <w:pPr>
        <w:pStyle w:val="2"/>
        <w:ind w:firstLine="624" w:firstLineChars="200"/>
        <w:rPr>
          <w:rFonts w:ascii="仿宋_GB2312" w:hAnsi="仿宋_GB2312" w:eastAsia="仿宋_GB2312" w:cs="仿宋_GB2312"/>
          <w:szCs w:val="32"/>
        </w:rPr>
      </w:pPr>
      <w:r>
        <w:rPr>
          <w:rFonts w:ascii="楷体_GB2312" w:hAnsi="楷体_GB2312" w:eastAsia="楷体_GB2312" w:cs="楷体_GB2312"/>
          <w:szCs w:val="32"/>
        </w:rPr>
        <w:t>（九）探索开展“人工智能+政务服务”。</w:t>
      </w:r>
      <w:r>
        <w:rPr>
          <w:rFonts w:ascii="仿宋_GB2312" w:hAnsi="仿宋_GB2312" w:eastAsia="仿宋_GB2312" w:cs="仿宋_GB2312"/>
          <w:szCs w:val="32"/>
        </w:rPr>
        <w:t>安全稳妥有序推进人工智能在“高效办成一件事”等政务服务领域应用。依托政策法规、办事指南、审查要点等专业内容，逐步构建人工智能大模型知识底座，推动现有各类政务服务平台升级，为工作人员提供智能辅助审批、智能分析等支撑，为企业和群众提供智能问答、智能引导、智能预填、智能帮办等服务。强化生成式人工智能服务的备案和监管，加强属地互联网信息服务算法和深度合成服务算法备案，做好非涉密人工智能大模型规范化管理。加强保密管理和系统防护，强化算法合规监管和人工审核把关，确保人工智能应用安全可靠。（市政务服务办、市数据局、市委网信办、市国家保密局牵头，各区人民政府、市级有关部门按职责分工负责）</w:t>
      </w:r>
    </w:p>
    <w:p>
      <w:pPr>
        <w:pStyle w:val="2"/>
        <w:ind w:firstLine="624" w:firstLineChars="200"/>
        <w:rPr>
          <w:rFonts w:ascii="仿宋_GB2312" w:hAnsi="仿宋_GB2312" w:eastAsia="仿宋_GB2312" w:cs="仿宋_GB2312"/>
          <w:szCs w:val="32"/>
        </w:rPr>
      </w:pPr>
      <w:r>
        <w:rPr>
          <w:rFonts w:ascii="楷体_GB2312" w:hAnsi="楷体_GB2312" w:eastAsia="楷体_GB2312" w:cs="楷体_GB2312"/>
          <w:szCs w:val="32"/>
        </w:rPr>
        <w:t>（十）注重用户体验和评价反馈。</w:t>
      </w:r>
      <w:r>
        <w:rPr>
          <w:rFonts w:ascii="仿宋_GB2312" w:hAnsi="仿宋_GB2312" w:eastAsia="仿宋_GB2312" w:cs="仿宋_GB2312"/>
          <w:szCs w:val="32"/>
        </w:rPr>
        <w:t>持续开展“我陪群众走流程”、“政务服务体验员”等活动，有效发挥政务服务“好差评”系统、服务大厅“办不成事”反映窗口、</w:t>
      </w:r>
      <w:r>
        <w:rPr>
          <w:rFonts w:eastAsia="仿宋_GB2312"/>
          <w:szCs w:val="32"/>
        </w:rPr>
        <w:t>12345</w:t>
      </w:r>
      <w:r>
        <w:rPr>
          <w:rFonts w:ascii="仿宋_GB2312" w:hAnsi="仿宋_GB2312" w:eastAsia="仿宋_GB2312" w:cs="仿宋_GB2312"/>
          <w:szCs w:val="32"/>
        </w:rPr>
        <w:t>政务服务便民热线（以下简称</w:t>
      </w:r>
      <w:r>
        <w:rPr>
          <w:rFonts w:eastAsia="仿宋_GB2312"/>
          <w:szCs w:val="32"/>
        </w:rPr>
        <w:t>12345</w:t>
      </w:r>
      <w:r>
        <w:rPr>
          <w:rFonts w:ascii="仿宋_GB2312" w:hAnsi="仿宋_GB2312" w:eastAsia="仿宋_GB2312" w:cs="仿宋_GB2312"/>
          <w:szCs w:val="32"/>
        </w:rPr>
        <w:t>热线）等渠道作用，广泛收集意见建议和反馈评价。加强窗口接件、后台审批等服务人员管理，常态化组织业务培训，全面提升工作人员业务素养与实操能力。通过在线监测、办件数据分析、模拟测试等方式，对重点事项办理效能开展智能化、精准化评估，不断完善工作举措，驱动服务提质升级。（市政务服务办牵头，各区人民政府、市级有关部门按职责分工负责）</w:t>
      </w:r>
    </w:p>
    <w:p>
      <w:pPr>
        <w:pStyle w:val="2"/>
        <w:ind w:firstLine="624" w:firstLineChars="200"/>
        <w:rPr>
          <w:rFonts w:ascii="黑体" w:hAnsi="黑体" w:eastAsia="黑体" w:cs="黑体"/>
          <w:szCs w:val="32"/>
        </w:rPr>
      </w:pPr>
      <w:r>
        <w:rPr>
          <w:rFonts w:ascii="黑体" w:hAnsi="黑体" w:eastAsia="黑体" w:cs="黑体"/>
          <w:szCs w:val="32"/>
        </w:rPr>
        <w:t>三、拓展“高效办成一件事”应用领域</w:t>
      </w:r>
    </w:p>
    <w:p>
      <w:pPr>
        <w:pStyle w:val="2"/>
        <w:ind w:firstLine="624" w:firstLineChars="200"/>
        <w:rPr>
          <w:rFonts w:ascii="仿宋_GB2312" w:hAnsi="仿宋_GB2312" w:eastAsia="仿宋_GB2312" w:cs="仿宋_GB2312"/>
          <w:szCs w:val="32"/>
        </w:rPr>
      </w:pPr>
      <w:r>
        <w:rPr>
          <w:rFonts w:ascii="楷体_GB2312" w:hAnsi="楷体_GB2312" w:eastAsia="楷体_GB2312" w:cs="楷体_GB2312"/>
          <w:szCs w:val="32"/>
        </w:rPr>
        <w:t>（</w:t>
      </w:r>
      <w:r>
        <w:rPr>
          <w:rFonts w:hint="eastAsia" w:ascii="楷体_GB2312" w:hAnsi="楷体_GB2312" w:eastAsia="楷体_GB2312" w:cs="楷体_GB2312"/>
          <w:szCs w:val="32"/>
        </w:rPr>
        <w:t>十一</w:t>
      </w:r>
      <w:r>
        <w:rPr>
          <w:rFonts w:ascii="楷体_GB2312" w:hAnsi="楷体_GB2312" w:eastAsia="楷体_GB2312" w:cs="楷体_GB2312"/>
          <w:szCs w:val="32"/>
        </w:rPr>
        <w:t>）制定专项政务服务事项。</w:t>
      </w:r>
      <w:r>
        <w:rPr>
          <w:rFonts w:ascii="仿宋_GB2312" w:hAnsi="仿宋_GB2312" w:eastAsia="仿宋_GB2312" w:cs="仿宋_GB2312"/>
          <w:szCs w:val="32"/>
        </w:rPr>
        <w:t>围绕重点产业、重点项目，制定专项政务服务事项清单，实现政务服务精准直达、事项高效办结；针对重点区域差异化需求，量身打造“一站式”延伸服务事项清单，实现服务就近供给、事项就近办理，推动“高效办成一件事”向“高效办成一类事”拓展。优化审批服务模式，扩大告知承诺服务范围，依法推动更多备案事项由事前备案改为事后备案。（市政务服务办牵头，各区人民政府、市级有关部门按职责分工负责）</w:t>
      </w:r>
    </w:p>
    <w:p>
      <w:pPr>
        <w:pStyle w:val="2"/>
        <w:ind w:firstLine="624" w:firstLineChars="200"/>
        <w:rPr>
          <w:rFonts w:ascii="仿宋_GB2312" w:hAnsi="仿宋_GB2312" w:eastAsia="仿宋_GB2312" w:cs="仿宋_GB2312"/>
          <w:szCs w:val="32"/>
        </w:rPr>
      </w:pPr>
      <w:r>
        <w:rPr>
          <w:rFonts w:hint="eastAsia" w:ascii="楷体_GB2312" w:hAnsi="楷体_GB2312" w:eastAsia="楷体_GB2312" w:cs="楷体_GB2312"/>
          <w:szCs w:val="32"/>
        </w:rPr>
        <w:t>（十二）打造一体化涉企服务平台。</w:t>
      </w:r>
      <w:r>
        <w:rPr>
          <w:rFonts w:ascii="仿宋_GB2312" w:hAnsi="仿宋_GB2312" w:eastAsia="仿宋_GB2312" w:cs="仿宋_GB2312"/>
          <w:szCs w:val="32"/>
        </w:rPr>
        <w:t>高标准建设“津产发”产业发展综合应用平台，精准归集经济运行数据、惠企政策资源、产业配套信息等核心要素，推进产业数据整合治理，为企业提供政策精准匹配申报、商事事项托管代办、发展资源对接赋能等服务，构建“政策服务+商事服务+资源对接+诉求响应”全链条服务体系，打造本市在线为企服务总入口和统一载体。（市数据局牵头，各区人民政府、市级有关部门按职责分工负责）</w:t>
      </w:r>
    </w:p>
    <w:p>
      <w:pPr>
        <w:pStyle w:val="2"/>
        <w:ind w:firstLine="624" w:firstLineChars="200"/>
        <w:rPr>
          <w:rFonts w:eastAsia="仿宋_GB2312"/>
          <w:szCs w:val="32"/>
        </w:rPr>
      </w:pPr>
      <w:r>
        <w:rPr>
          <w:rFonts w:ascii="楷体_GB2312" w:hAnsi="楷体_GB2312" w:eastAsia="楷体_GB2312" w:cs="楷体_GB2312"/>
          <w:szCs w:val="32"/>
        </w:rPr>
        <w:t>（十</w:t>
      </w:r>
      <w:r>
        <w:rPr>
          <w:rFonts w:hint="eastAsia" w:ascii="楷体_GB2312" w:hAnsi="楷体_GB2312" w:eastAsia="楷体_GB2312" w:cs="楷体_GB2312"/>
          <w:szCs w:val="32"/>
        </w:rPr>
        <w:t>三</w:t>
      </w:r>
      <w:r>
        <w:rPr>
          <w:rFonts w:ascii="楷体_GB2312" w:hAnsi="楷体_GB2312" w:eastAsia="楷体_GB2312" w:cs="楷体_GB2312"/>
          <w:szCs w:val="32"/>
        </w:rPr>
        <w:t>）优化“一线式”便民热线。</w:t>
      </w:r>
      <w:r>
        <w:rPr>
          <w:rFonts w:ascii="仿宋_GB2312" w:hAnsi="仿宋_GB2312" w:eastAsia="仿宋_GB2312" w:cs="仿宋_GB2312"/>
          <w:szCs w:val="32"/>
        </w:rPr>
        <w:t>深化</w:t>
      </w:r>
      <w:r>
        <w:rPr>
          <w:rFonts w:eastAsia="仿宋_GB2312"/>
          <w:szCs w:val="32"/>
        </w:rPr>
        <w:t>12345</w:t>
      </w:r>
      <w:r>
        <w:rPr>
          <w:rFonts w:ascii="仿宋_GB2312" w:hAnsi="仿宋_GB2312" w:eastAsia="仿宋_GB2312" w:cs="仿宋_GB2312"/>
          <w:szCs w:val="32"/>
        </w:rPr>
        <w:t>热线标准化体系建设，规范</w:t>
      </w:r>
      <w:r>
        <w:rPr>
          <w:rFonts w:eastAsia="仿宋_GB2312"/>
          <w:szCs w:val="32"/>
        </w:rPr>
        <w:t>12345</w:t>
      </w:r>
      <w:r>
        <w:rPr>
          <w:rFonts w:ascii="仿宋_GB2312" w:hAnsi="仿宋_GB2312" w:eastAsia="仿宋_GB2312" w:cs="仿宋_GB2312"/>
          <w:szCs w:val="32"/>
        </w:rPr>
        <w:t>热线工单办理流程，完善复杂诉求会商机制，推动更多单位纳入承办体系。发挥“热线联盟”机制作用，加强与紧急热线、公共事业热线等协同联动，快速响应企业和群众诉求。做优“高效办成一件事”、手语视频、外语等特色专席服务。提升</w:t>
      </w:r>
      <w:r>
        <w:rPr>
          <w:rFonts w:eastAsia="仿宋_GB2312"/>
          <w:szCs w:val="32"/>
        </w:rPr>
        <w:t>12345</w:t>
      </w:r>
      <w:r>
        <w:rPr>
          <w:rFonts w:ascii="仿宋_GB2312" w:hAnsi="仿宋_GB2312" w:eastAsia="仿宋_GB2312" w:cs="仿宋_GB2312"/>
          <w:szCs w:val="32"/>
        </w:rPr>
        <w:t>热线平台智能文本客服、智能座席助手、智能回访等功能服务水平，深化</w:t>
      </w:r>
      <w:r>
        <w:rPr>
          <w:rFonts w:eastAsia="仿宋_GB2312"/>
          <w:szCs w:val="32"/>
        </w:rPr>
        <w:t>12345</w:t>
      </w:r>
      <w:r>
        <w:rPr>
          <w:rFonts w:ascii="仿宋_GB2312" w:hAnsi="仿宋_GB2312" w:eastAsia="仿宋_GB2312" w:cs="仿宋_GB2312"/>
          <w:szCs w:val="32"/>
        </w:rPr>
        <w:t>热线与政务服务事项数据的融合应用，优化智能分析、动态监测与风险预警能力，全面提升诉求响应处置效能。（市政务服务办牵头，各区人民政府、市级有关部门按职责分工负责）</w:t>
      </w:r>
    </w:p>
    <w:p>
      <w:pPr>
        <w:pStyle w:val="2"/>
        <w:ind w:firstLine="624" w:firstLineChars="200"/>
        <w:rPr>
          <w:rFonts w:ascii="仿宋_GB2312" w:hAnsi="仿宋_GB2312" w:eastAsia="仿宋_GB2312" w:cs="仿宋_GB2312"/>
          <w:szCs w:val="32"/>
        </w:rPr>
      </w:pPr>
      <w:r>
        <w:rPr>
          <w:rFonts w:ascii="楷体_GB2312" w:hAnsi="楷体_GB2312" w:eastAsia="楷体_GB2312" w:cs="楷体_GB2312"/>
          <w:szCs w:val="32"/>
        </w:rPr>
        <w:t>（十</w:t>
      </w:r>
      <w:r>
        <w:rPr>
          <w:rFonts w:hint="eastAsia" w:ascii="楷体_GB2312" w:hAnsi="楷体_GB2312" w:eastAsia="楷体_GB2312" w:cs="楷体_GB2312"/>
          <w:szCs w:val="32"/>
        </w:rPr>
        <w:t>四</w:t>
      </w:r>
      <w:r>
        <w:rPr>
          <w:rFonts w:ascii="楷体_GB2312" w:hAnsi="楷体_GB2312" w:eastAsia="楷体_GB2312" w:cs="楷体_GB2312"/>
          <w:szCs w:val="32"/>
        </w:rPr>
        <w:t>）加强经营主体信用服务。</w:t>
      </w:r>
      <w:r>
        <w:rPr>
          <w:rFonts w:ascii="仿宋_GB2312" w:hAnsi="仿宋_GB2312" w:eastAsia="仿宋_GB2312" w:cs="仿宋_GB2312"/>
          <w:szCs w:val="32"/>
        </w:rPr>
        <w:t>支持经营主体完善合规经营制度、管控信用风险，引导经营主体诚信经营、守信践诺。全面推进“信用代证”，在行政审批、招标投标、融资授信、申请政策优惠等事项中，推广使用专项信用报告，替代多个行政机关单独出具的有无违法违规记录证明。（市发展改革委、市市场监管委牵头，各区人民政府、市级有关部门按职责分工负责）</w:t>
      </w:r>
    </w:p>
    <w:p>
      <w:pPr>
        <w:pStyle w:val="2"/>
        <w:ind w:firstLine="624" w:firstLineChars="200"/>
        <w:rPr>
          <w:rFonts w:ascii="仿宋_GB2312" w:hAnsi="仿宋_GB2312" w:eastAsia="仿宋_GB2312" w:cs="仿宋_GB2312"/>
          <w:szCs w:val="32"/>
        </w:rPr>
      </w:pPr>
      <w:r>
        <w:rPr>
          <w:rFonts w:ascii="楷体_GB2312" w:hAnsi="楷体_GB2312" w:eastAsia="楷体_GB2312" w:cs="楷体_GB2312"/>
          <w:szCs w:val="32"/>
        </w:rPr>
        <w:t>（十</w:t>
      </w:r>
      <w:r>
        <w:rPr>
          <w:rFonts w:hint="eastAsia" w:ascii="楷体_GB2312" w:hAnsi="楷体_GB2312" w:eastAsia="楷体_GB2312" w:cs="楷体_GB2312"/>
          <w:szCs w:val="32"/>
        </w:rPr>
        <w:t>五</w:t>
      </w:r>
      <w:r>
        <w:rPr>
          <w:rFonts w:ascii="楷体_GB2312" w:hAnsi="楷体_GB2312" w:eastAsia="楷体_GB2312" w:cs="楷体_GB2312"/>
          <w:szCs w:val="32"/>
        </w:rPr>
        <w:t>）完善政企沟通服务机制。</w:t>
      </w:r>
      <w:r>
        <w:rPr>
          <w:rFonts w:ascii="仿宋_GB2312" w:hAnsi="仿宋_GB2312" w:eastAsia="仿宋_GB2312" w:cs="仿宋_GB2312"/>
          <w:szCs w:val="32"/>
        </w:rPr>
        <w:t>深化“政企同行·有需必应”服务机制，用好</w:t>
      </w:r>
      <w:r>
        <w:rPr>
          <w:rFonts w:eastAsia="仿宋_GB2312"/>
          <w:szCs w:val="32"/>
        </w:rPr>
        <w:t>12345</w:t>
      </w:r>
      <w:r>
        <w:rPr>
          <w:rFonts w:ascii="仿宋_GB2312" w:hAnsi="仿宋_GB2312" w:eastAsia="仿宋_GB2312" w:cs="仿宋_GB2312"/>
          <w:szCs w:val="32"/>
        </w:rPr>
        <w:t>热线为企服务专线，更好发挥为企服务人员作用，聚焦国家级经济技术开发区和各重点园区产业发展定位，积极探索精准高效、各具特色的区域化服务模式。加强各类为企服务机制协同联动，统筹用好国家及本市各类政企互通平台，畅通政企沟通交流渠道，精准高效服务企业。（市政务服务办、市发展改革委、市商务局、市工商联、市市场监管委牵头，各区人民政府、市级有关部门按职责分工负责）</w:t>
      </w:r>
    </w:p>
    <w:p>
      <w:pPr>
        <w:pStyle w:val="2"/>
        <w:ind w:firstLine="624" w:firstLineChars="200"/>
        <w:rPr>
          <w:rFonts w:ascii="仿宋_GB2312" w:hAnsi="仿宋_GB2312" w:eastAsia="仿宋_GB2312" w:cs="仿宋_GB2312"/>
          <w:szCs w:val="32"/>
        </w:rPr>
      </w:pPr>
      <w:r>
        <w:rPr>
          <w:rFonts w:ascii="楷体_GB2312" w:hAnsi="楷体_GB2312" w:eastAsia="楷体_GB2312" w:cs="楷体_GB2312"/>
          <w:szCs w:val="32"/>
        </w:rPr>
        <w:t>（十</w:t>
      </w:r>
      <w:r>
        <w:rPr>
          <w:rFonts w:hint="eastAsia" w:ascii="楷体_GB2312" w:hAnsi="楷体_GB2312" w:eastAsia="楷体_GB2312" w:cs="楷体_GB2312"/>
          <w:szCs w:val="32"/>
        </w:rPr>
        <w:t>六</w:t>
      </w:r>
      <w:r>
        <w:rPr>
          <w:rFonts w:ascii="楷体_GB2312" w:hAnsi="楷体_GB2312" w:eastAsia="楷体_GB2312" w:cs="楷体_GB2312"/>
          <w:szCs w:val="32"/>
        </w:rPr>
        <w:t>）提升综合监管质效。</w:t>
      </w:r>
      <w:r>
        <w:rPr>
          <w:rFonts w:ascii="仿宋_GB2312" w:hAnsi="仿宋_GB2312" w:eastAsia="仿宋_GB2312" w:cs="仿宋_GB2312"/>
          <w:szCs w:val="32"/>
        </w:rPr>
        <w:t>用好国家“互联网+监管”系统多级联动应用试点建设成果，围绕重点事项业务流程深化预防提醒、合规指引等服务，推动审批服务、监管执法和信用管理协同联动。探索监管全链条“一件事”，围绕交通运输、药品监管等智慧监管场景，整合监管流程、统一监管标准、共享监管数据，综合运用风险预警、智能核查、动态监测等手段，提升监管精准度和有效性。全流程规范涉企行政检查，全面推行入企检查“亮码亮证”，结合实际对跨部门、跨区域、跨层级行政检查事项进行“一件事”集成，避免重复检查、多头检查。（市发展改革委、市司法局、市市场监管委、市数据局、市交通运输委、市药监局牵头，各区人民政府、市级有关部门按职责分工负责）</w:t>
      </w:r>
    </w:p>
    <w:p>
      <w:pPr>
        <w:pStyle w:val="2"/>
        <w:ind w:firstLine="624" w:firstLineChars="200"/>
        <w:rPr>
          <w:rFonts w:ascii="仿宋_GB2312" w:hAnsi="仿宋_GB2312" w:eastAsia="仿宋_GB2312" w:cs="仿宋_GB2312"/>
          <w:szCs w:val="32"/>
        </w:rPr>
      </w:pPr>
      <w:r>
        <w:rPr>
          <w:rFonts w:ascii="楷体_GB2312" w:hAnsi="楷体_GB2312" w:eastAsia="楷体_GB2312" w:cs="楷体_GB2312"/>
          <w:szCs w:val="32"/>
        </w:rPr>
        <w:t>（十七）提高政务运行效能。</w:t>
      </w:r>
      <w:r>
        <w:rPr>
          <w:rFonts w:ascii="仿宋_GB2312" w:hAnsi="仿宋_GB2312" w:eastAsia="仿宋_GB2312" w:cs="仿宋_GB2312"/>
          <w:szCs w:val="32"/>
        </w:rPr>
        <w:t>持续深化基层报表数据“只报一次”，厘清报表底数，精简合并报表，严控新增报表，推动更多基层报表纳入统一渠道报送，实现一次填报、动态更新、多方共用，切实减轻基层负担。（市数据局牵头，各区人民政府、市级有关部门按职责分工负责）</w:t>
      </w:r>
    </w:p>
    <w:p>
      <w:pPr>
        <w:pStyle w:val="2"/>
        <w:ind w:firstLine="624" w:firstLineChars="200"/>
        <w:rPr>
          <w:rFonts w:ascii="仿宋_GB2312" w:hAnsi="仿宋_GB2312" w:eastAsia="仿宋_GB2312" w:cs="仿宋_GB2312"/>
          <w:szCs w:val="32"/>
        </w:rPr>
        <w:sectPr>
          <w:pgSz w:w="11907" w:h="16840"/>
          <w:pgMar w:top="2098" w:right="1474" w:bottom="1985" w:left="1588" w:header="851" w:footer="1701" w:gutter="0"/>
          <w:cols w:space="720" w:num="1"/>
          <w:docGrid w:type="linesAndChars" w:linePitch="289" w:charSpace="-1839"/>
        </w:sectPr>
      </w:pPr>
      <w:r>
        <w:rPr>
          <w:rFonts w:ascii="仿宋_GB2312" w:hAnsi="仿宋_GB2312" w:eastAsia="仿宋_GB2312" w:cs="仿宋_GB2312"/>
          <w:szCs w:val="32"/>
        </w:rPr>
        <w:t>各区、各部门要高度重视“高效办成一件事”工作，加强政策解读，持续提升政务服务质效。各牵头责任部门要主动担当、加强统筹，明确工作标准、业务流程，其他责任部门要加强工作联动，做好业务衔接，及时协调解决堵点问题。政务服务管理部门、数据管理部门要加强统筹协调，强化工作调度和跟踪督办，适时修订本市政务服务领域地方标准。</w:t>
      </w:r>
    </w:p>
    <w:p>
      <w:pPr>
        <w:pStyle w:val="2"/>
        <w:ind w:firstLine="624" w:firstLineChars="200"/>
        <w:rPr>
          <w:rFonts w:ascii="仿宋_GB2312" w:hAnsi="仿宋_GB2312" w:eastAsia="仿宋_GB2312" w:cs="仿宋_GB2312"/>
          <w:szCs w:val="32"/>
        </w:rPr>
      </w:pPr>
    </w:p>
    <w:p>
      <w:pPr>
        <w:pStyle w:val="2"/>
        <w:rPr>
          <w:rFonts w:eastAsia="仿宋_GB2312"/>
          <w:szCs w:val="32"/>
        </w:rPr>
      </w:pPr>
    </w:p>
    <w:p>
      <w:pPr>
        <w:pStyle w:val="2"/>
        <w:rPr>
          <w:rFonts w:eastAsia="仿宋_GB2312"/>
          <w:szCs w:val="32"/>
        </w:rPr>
      </w:pPr>
    </w:p>
    <w:p>
      <w:pPr>
        <w:pStyle w:val="2"/>
        <w:rPr>
          <w:rFonts w:eastAsia="仿宋_GB2312"/>
          <w:szCs w:val="32"/>
        </w:rPr>
      </w:pPr>
    </w:p>
    <w:p>
      <w:pPr>
        <w:pStyle w:val="2"/>
        <w:ind w:left="914" w:hanging="917" w:hangingChars="294"/>
        <w:rPr>
          <w:rFonts w:eastAsia="仿宋_GB2312"/>
          <w:szCs w:val="32"/>
        </w:rPr>
      </w:pPr>
    </w:p>
    <w:p>
      <w:pPr>
        <w:pStyle w:val="2"/>
        <w:ind w:left="914" w:hanging="917" w:hangingChars="294"/>
        <w:rPr>
          <w:rFonts w:eastAsia="仿宋_GB2312"/>
          <w:szCs w:val="32"/>
        </w:rPr>
      </w:pPr>
    </w:p>
    <w:p>
      <w:pPr>
        <w:pStyle w:val="2"/>
        <w:ind w:left="914" w:hanging="917" w:hangingChars="294"/>
        <w:rPr>
          <w:rFonts w:eastAsia="仿宋_GB2312"/>
          <w:szCs w:val="32"/>
        </w:rPr>
      </w:pPr>
    </w:p>
    <w:p>
      <w:pPr>
        <w:pStyle w:val="2"/>
        <w:ind w:left="914" w:hanging="917" w:hangingChars="294"/>
        <w:rPr>
          <w:rFonts w:eastAsia="仿宋_GB2312"/>
          <w:szCs w:val="32"/>
        </w:rPr>
      </w:pPr>
    </w:p>
    <w:p>
      <w:pPr>
        <w:pStyle w:val="2"/>
        <w:ind w:left="914" w:hanging="917" w:hangingChars="294"/>
        <w:rPr>
          <w:rFonts w:eastAsia="仿宋_GB2312"/>
          <w:szCs w:val="32"/>
        </w:rPr>
      </w:pPr>
    </w:p>
    <w:p>
      <w:pPr>
        <w:pStyle w:val="2"/>
        <w:ind w:left="914" w:hanging="917" w:hangingChars="294"/>
        <w:rPr>
          <w:rFonts w:eastAsia="仿宋_GB2312"/>
          <w:szCs w:val="32"/>
        </w:rPr>
      </w:pPr>
    </w:p>
    <w:p>
      <w:pPr>
        <w:pStyle w:val="2"/>
        <w:ind w:left="914" w:hanging="917" w:hangingChars="294"/>
        <w:rPr>
          <w:rFonts w:eastAsia="仿宋_GB2312"/>
          <w:szCs w:val="32"/>
        </w:rPr>
      </w:pPr>
    </w:p>
    <w:p>
      <w:pPr>
        <w:pStyle w:val="2"/>
        <w:ind w:left="914" w:hanging="917" w:hangingChars="294"/>
        <w:rPr>
          <w:rFonts w:eastAsia="仿宋_GB2312"/>
          <w:szCs w:val="32"/>
        </w:rPr>
      </w:pPr>
    </w:p>
    <w:p>
      <w:pPr>
        <w:pStyle w:val="2"/>
        <w:ind w:left="914" w:hanging="917" w:hangingChars="294"/>
        <w:rPr>
          <w:rFonts w:eastAsia="仿宋_GB2312"/>
          <w:szCs w:val="32"/>
        </w:rPr>
      </w:pPr>
    </w:p>
    <w:p>
      <w:pPr>
        <w:pStyle w:val="2"/>
        <w:rPr>
          <w:sz w:val="10"/>
          <w:szCs w:val="10"/>
        </w:rPr>
      </w:pPr>
    </w:p>
    <w:sectPr>
      <w:footerReference r:id="rId6" w:type="default"/>
      <w:pgSz w:w="11907" w:h="16840"/>
      <w:pgMar w:top="2098" w:right="1474" w:bottom="1985" w:left="1588" w:header="851" w:footer="1701" w:gutter="0"/>
      <w:cols w:space="720" w:num="1"/>
      <w:docGrid w:type="linesAndChars" w:linePitch="289" w:charSpace="-18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文星仿宋">
    <w:altName w:val="仿宋"/>
    <w:panose1 w:val="00000000000000000000"/>
    <w:charset w:val="00"/>
    <w:family w:val="auto"/>
    <w:pitch w:val="default"/>
    <w:sig w:usb0="00000000" w:usb1="00000000" w:usb2="00000010"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黑体"/>
    <w:panose1 w:val="02010601030101010101"/>
    <w:charset w:val="86"/>
    <w:family w:val="auto"/>
    <w:pitch w:val="default"/>
    <w:sig w:usb0="00000000" w:usb1="00000000" w:usb2="00000010" w:usb3="00000000" w:csb0="00040000" w:csb1="00000000"/>
  </w:font>
  <w:font w:name="方正小标宋_GBK">
    <w:altName w:val="微软雅黑"/>
    <w:panose1 w:val="00000000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ind w:left="420" w:leftChars="200" w:right="420" w:rightChars="200"/>
      <w:jc w:val="center"/>
      <w:rPr>
        <w:rStyle w:val="9"/>
        <w:sz w:val="28"/>
      </w:rPr>
    </w:pPr>
    <w:r>
      <w:rPr>
        <w:rStyle w:val="9"/>
        <w:rFonts w:hint="eastAsia"/>
        <w:sz w:val="28"/>
      </w:rPr>
      <w:t>—</w:t>
    </w:r>
    <w:r>
      <w:rPr>
        <w:rStyle w:val="9"/>
        <w:sz w:val="28"/>
      </w:rPr>
      <w:t xml:space="preserve"> </w:t>
    </w:r>
    <w:r>
      <w:rPr>
        <w:rStyle w:val="9"/>
        <w:sz w:val="28"/>
      </w:rPr>
      <w:fldChar w:fldCharType="begin"/>
    </w:r>
    <w:r>
      <w:rPr>
        <w:rStyle w:val="9"/>
        <w:sz w:val="28"/>
      </w:rPr>
      <w:instrText xml:space="preserve">PAGE  </w:instrText>
    </w:r>
    <w:r>
      <w:rPr>
        <w:rStyle w:val="9"/>
        <w:sz w:val="28"/>
      </w:rPr>
      <w:fldChar w:fldCharType="separate"/>
    </w:r>
    <w:r>
      <w:rPr>
        <w:rStyle w:val="9"/>
        <w:sz w:val="28"/>
      </w:rPr>
      <w:t>1</w:t>
    </w:r>
    <w:r>
      <w:rPr>
        <w:rStyle w:val="9"/>
        <w:sz w:val="28"/>
      </w:rPr>
      <w:fldChar w:fldCharType="end"/>
    </w:r>
    <w:r>
      <w:rPr>
        <w:rStyle w:val="9"/>
        <w:sz w:val="28"/>
      </w:rPr>
      <w:t xml:space="preserve"> </w:t>
    </w:r>
    <w:r>
      <w:rPr>
        <w:rStyle w:val="9"/>
        <w:rFonts w:hint="eastAsia"/>
        <w:sz w:val="28"/>
      </w:rPr>
      <w:t>—</w:t>
    </w:r>
  </w:p>
  <w:p>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9"/>
      </w:rPr>
    </w:pPr>
    <w:r>
      <w:rPr>
        <w:rStyle w:val="9"/>
      </w:rPr>
      <w:fldChar w:fldCharType="begin"/>
    </w:r>
    <w:r>
      <w:rPr>
        <w:rStyle w:val="9"/>
      </w:rPr>
      <w:instrText xml:space="preserve">PAGE  </w:instrText>
    </w:r>
    <w:r>
      <w:rPr>
        <w:rStyle w:val="9"/>
      </w:rPr>
      <w:fldChar w:fldCharType="end"/>
    </w:r>
  </w:p>
  <w:p>
    <w:pPr>
      <w:pStyle w:val="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HorizontalSpacing w:val="201"/>
  <w:drawingGridVerticalSpacing w:val="289"/>
  <w:characterSpacingControl w:val="compressPunctuation"/>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DgwMzk0YTNmOTEwYzJjM2U3NzNmMTczYWNhOTU0MmYifQ=="/>
  </w:docVars>
  <w:rsids>
    <w:rsidRoot w:val="0052186E"/>
    <w:rsid w:val="000007A8"/>
    <w:rsid w:val="000044C7"/>
    <w:rsid w:val="000068A5"/>
    <w:rsid w:val="0003738B"/>
    <w:rsid w:val="00071623"/>
    <w:rsid w:val="000E2D13"/>
    <w:rsid w:val="00143BAA"/>
    <w:rsid w:val="00184D7D"/>
    <w:rsid w:val="001C2AA4"/>
    <w:rsid w:val="001C3B43"/>
    <w:rsid w:val="00256A3B"/>
    <w:rsid w:val="002B4F82"/>
    <w:rsid w:val="002E19E1"/>
    <w:rsid w:val="002E5E1B"/>
    <w:rsid w:val="002F11DA"/>
    <w:rsid w:val="002F6A2E"/>
    <w:rsid w:val="00326547"/>
    <w:rsid w:val="00334EA9"/>
    <w:rsid w:val="00344D03"/>
    <w:rsid w:val="003454CF"/>
    <w:rsid w:val="00346591"/>
    <w:rsid w:val="0036674E"/>
    <w:rsid w:val="003811AD"/>
    <w:rsid w:val="003A0B3A"/>
    <w:rsid w:val="003B4936"/>
    <w:rsid w:val="003C2B8E"/>
    <w:rsid w:val="003D411B"/>
    <w:rsid w:val="0040798F"/>
    <w:rsid w:val="00423112"/>
    <w:rsid w:val="00433F2C"/>
    <w:rsid w:val="00470219"/>
    <w:rsid w:val="00475655"/>
    <w:rsid w:val="00475EA0"/>
    <w:rsid w:val="004D08EE"/>
    <w:rsid w:val="0052186E"/>
    <w:rsid w:val="00573751"/>
    <w:rsid w:val="00577ED3"/>
    <w:rsid w:val="005A520C"/>
    <w:rsid w:val="005C2FB4"/>
    <w:rsid w:val="00600D6F"/>
    <w:rsid w:val="006060B6"/>
    <w:rsid w:val="00643EF8"/>
    <w:rsid w:val="006463F7"/>
    <w:rsid w:val="00672D83"/>
    <w:rsid w:val="00686D91"/>
    <w:rsid w:val="006D1237"/>
    <w:rsid w:val="00712D3A"/>
    <w:rsid w:val="007276F9"/>
    <w:rsid w:val="007318B6"/>
    <w:rsid w:val="00731E55"/>
    <w:rsid w:val="00752846"/>
    <w:rsid w:val="00763B0E"/>
    <w:rsid w:val="00773454"/>
    <w:rsid w:val="00777D65"/>
    <w:rsid w:val="00781034"/>
    <w:rsid w:val="007A0114"/>
    <w:rsid w:val="007A2640"/>
    <w:rsid w:val="007B01A3"/>
    <w:rsid w:val="007B1EDA"/>
    <w:rsid w:val="007C6740"/>
    <w:rsid w:val="007D0386"/>
    <w:rsid w:val="007D2F1D"/>
    <w:rsid w:val="00846D11"/>
    <w:rsid w:val="0085493B"/>
    <w:rsid w:val="00873B40"/>
    <w:rsid w:val="008914FD"/>
    <w:rsid w:val="008D6530"/>
    <w:rsid w:val="008E29A0"/>
    <w:rsid w:val="008F2448"/>
    <w:rsid w:val="00912EC7"/>
    <w:rsid w:val="00942266"/>
    <w:rsid w:val="00963484"/>
    <w:rsid w:val="009920BF"/>
    <w:rsid w:val="0099656B"/>
    <w:rsid w:val="009C102D"/>
    <w:rsid w:val="009C116B"/>
    <w:rsid w:val="009F78DD"/>
    <w:rsid w:val="009F7972"/>
    <w:rsid w:val="00A36258"/>
    <w:rsid w:val="00A734F4"/>
    <w:rsid w:val="00A91468"/>
    <w:rsid w:val="00AA3F8A"/>
    <w:rsid w:val="00AA64D3"/>
    <w:rsid w:val="00AC3CF4"/>
    <w:rsid w:val="00AE4B3F"/>
    <w:rsid w:val="00AE656A"/>
    <w:rsid w:val="00B123FE"/>
    <w:rsid w:val="00B70BCD"/>
    <w:rsid w:val="00B770E9"/>
    <w:rsid w:val="00B93140"/>
    <w:rsid w:val="00BA35B4"/>
    <w:rsid w:val="00BC6067"/>
    <w:rsid w:val="00C22CEC"/>
    <w:rsid w:val="00C2526A"/>
    <w:rsid w:val="00CC42BE"/>
    <w:rsid w:val="00CE2267"/>
    <w:rsid w:val="00CE76C4"/>
    <w:rsid w:val="00D000FF"/>
    <w:rsid w:val="00D173C2"/>
    <w:rsid w:val="00D40E94"/>
    <w:rsid w:val="00D43624"/>
    <w:rsid w:val="00D44E9D"/>
    <w:rsid w:val="00D64A77"/>
    <w:rsid w:val="00D8625C"/>
    <w:rsid w:val="00DB7FA1"/>
    <w:rsid w:val="00DD768C"/>
    <w:rsid w:val="00E2093B"/>
    <w:rsid w:val="00E31F62"/>
    <w:rsid w:val="00E67E23"/>
    <w:rsid w:val="00E74110"/>
    <w:rsid w:val="00EA77DD"/>
    <w:rsid w:val="00EB3529"/>
    <w:rsid w:val="00F13242"/>
    <w:rsid w:val="00F23CEA"/>
    <w:rsid w:val="00F35D3F"/>
    <w:rsid w:val="00F410DE"/>
    <w:rsid w:val="00F61E7C"/>
    <w:rsid w:val="00FB20E7"/>
    <w:rsid w:val="1EBD1CDF"/>
    <w:rsid w:val="27CD3D87"/>
    <w:rsid w:val="293F3CF6"/>
    <w:rsid w:val="29F79B4C"/>
    <w:rsid w:val="2B5C6F82"/>
    <w:rsid w:val="3BFFADC4"/>
    <w:rsid w:val="4BCEDF44"/>
    <w:rsid w:val="5F7A5C16"/>
    <w:rsid w:val="67EF89D4"/>
    <w:rsid w:val="67FF4711"/>
    <w:rsid w:val="71DF4818"/>
    <w:rsid w:val="75FFD392"/>
    <w:rsid w:val="7AFEF08A"/>
    <w:rsid w:val="7F7E49EB"/>
    <w:rsid w:val="7FFA306B"/>
    <w:rsid w:val="A3DDE2FD"/>
    <w:rsid w:val="A6EFA334"/>
    <w:rsid w:val="ACFEB794"/>
    <w:rsid w:val="BF7F705B"/>
    <w:rsid w:val="D67C42A4"/>
    <w:rsid w:val="E9BD9F45"/>
    <w:rsid w:val="F2FF491F"/>
    <w:rsid w:val="F7C77816"/>
    <w:rsid w:val="FAAC855A"/>
    <w:rsid w:val="FB5BABA3"/>
    <w:rsid w:val="FCDFDB09"/>
    <w:rsid w:val="FF7FAE29"/>
    <w:rsid w:val="FFB73278"/>
    <w:rsid w:val="FFDB5A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1"/>
    <w:qFormat/>
    <w:uiPriority w:val="0"/>
    <w:rPr>
      <w:rFonts w:eastAsia="文星仿宋"/>
      <w:sz w:val="32"/>
    </w:rPr>
  </w:style>
  <w:style w:type="paragraph" w:styleId="3">
    <w:name w:val="Date"/>
    <w:basedOn w:val="1"/>
    <w:next w:val="1"/>
    <w:qFormat/>
    <w:uiPriority w:val="0"/>
    <w:pPr>
      <w:ind w:left="100" w:leftChars="2500"/>
    </w:pPr>
  </w:style>
  <w:style w:type="paragraph" w:styleId="4">
    <w:name w:val="Balloon Text"/>
    <w:basedOn w:val="1"/>
    <w:semiHidden/>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0"/>
  </w:style>
  <w:style w:type="character" w:styleId="10">
    <w:name w:val="Hyperlink"/>
    <w:qFormat/>
    <w:uiPriority w:val="0"/>
    <w:rPr>
      <w:color w:val="0000FF"/>
      <w:u w:val="single"/>
    </w:rPr>
  </w:style>
  <w:style w:type="character" w:customStyle="1" w:styleId="11">
    <w:name w:val="正文文本 Char"/>
    <w:link w:val="2"/>
    <w:qFormat/>
    <w:uiPriority w:val="0"/>
    <w:rPr>
      <w:rFonts w:eastAsia="文星仿宋"/>
      <w:kern w:val="2"/>
      <w:sz w:val="32"/>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tjszf</Company>
  <Pages>10</Pages>
  <Words>685</Words>
  <Characters>3905</Characters>
  <Lines>32</Lines>
  <Paragraphs>9</Paragraphs>
  <TotalTime>0</TotalTime>
  <ScaleCrop>false</ScaleCrop>
  <LinksUpToDate>false</LinksUpToDate>
  <CharactersWithSpaces>4581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2014-06-13T00:51:00Z</dcterms:created>
  <dc:creator>jsj</dc:creator>
  <cp:lastModifiedBy>jinyun</cp:lastModifiedBy>
  <cp:lastPrinted>2020-12-30T01:46:00Z</cp:lastPrinted>
  <dcterms:modified xsi:type="dcterms:W3CDTF">2026-07-01T08:52:51Z</dcterms:modified>
  <dc:title>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F21F76F4729B210321493E6AC76997BA</vt:lpwstr>
  </property>
</Properties>
</file>