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BF7F8">
      <w:pPr>
        <w:widowControl/>
        <w:spacing w:line="560" w:lineRule="exact"/>
        <w:ind w:firstLine="608" w:firstLineChars="200"/>
        <w:rPr>
          <w:spacing w:val="-6"/>
          <w:kern w:val="0"/>
          <w:szCs w:val="32"/>
        </w:rPr>
      </w:pPr>
      <w:bookmarkStart w:id="0" w:name="_GoBack"/>
    </w:p>
    <w:bookmarkEnd w:id="0"/>
    <w:p w14:paraId="3F0F4C5C">
      <w:pPr>
        <w:spacing w:line="540" w:lineRule="exact"/>
        <w:jc w:val="center"/>
        <w:rPr>
          <w:rFonts w:ascii="方正小标宋简体" w:eastAsia="方正小标宋简体"/>
          <w:sz w:val="44"/>
          <w:szCs w:val="44"/>
        </w:rPr>
      </w:pPr>
      <w:r>
        <w:rPr>
          <w:rFonts w:hint="eastAsia" w:ascii="方正小标宋简体" w:eastAsia="方正小标宋简体"/>
          <w:sz w:val="44"/>
          <w:szCs w:val="44"/>
        </w:rPr>
        <w:t>市住房城乡建设委关于公布废止</w:t>
      </w:r>
    </w:p>
    <w:p w14:paraId="0DE7E71E">
      <w:pPr>
        <w:spacing w:line="540" w:lineRule="exact"/>
        <w:jc w:val="center"/>
        <w:rPr>
          <w:rFonts w:ascii="方正小标宋简体" w:eastAsia="方正小标宋简体"/>
          <w:sz w:val="44"/>
          <w:szCs w:val="44"/>
        </w:rPr>
      </w:pPr>
      <w:r>
        <w:rPr>
          <w:rFonts w:hint="eastAsia" w:ascii="方正小标宋简体" w:eastAsia="方正小标宋简体"/>
          <w:sz w:val="44"/>
          <w:szCs w:val="44"/>
        </w:rPr>
        <w:t>部分行政规范性文件的公告</w:t>
      </w:r>
    </w:p>
    <w:p w14:paraId="5E712159">
      <w:pPr>
        <w:widowControl/>
        <w:spacing w:line="560" w:lineRule="exact"/>
        <w:ind w:firstLine="608" w:firstLineChars="200"/>
        <w:rPr>
          <w:spacing w:val="-6"/>
          <w:kern w:val="0"/>
          <w:szCs w:val="32"/>
        </w:rPr>
      </w:pPr>
    </w:p>
    <w:p w14:paraId="19B2714E">
      <w:pPr>
        <w:widowControl/>
        <w:spacing w:line="560" w:lineRule="exact"/>
        <w:ind w:firstLine="608" w:firstLineChars="200"/>
        <w:rPr>
          <w:spacing w:val="-6"/>
          <w:kern w:val="0"/>
          <w:szCs w:val="32"/>
        </w:rPr>
      </w:pPr>
      <w:r>
        <w:rPr>
          <w:spacing w:val="-6"/>
          <w:kern w:val="0"/>
          <w:szCs w:val="32"/>
        </w:rPr>
        <w:t>为贯彻落实国家和本市行政规范性文件</w:t>
      </w:r>
      <w:r>
        <w:rPr>
          <w:rFonts w:hint="eastAsia"/>
          <w:spacing w:val="-6"/>
          <w:kern w:val="0"/>
          <w:szCs w:val="32"/>
        </w:rPr>
        <w:t>管理</w:t>
      </w:r>
      <w:r>
        <w:rPr>
          <w:spacing w:val="-6"/>
          <w:kern w:val="0"/>
          <w:szCs w:val="32"/>
        </w:rPr>
        <w:t>工作的</w:t>
      </w:r>
      <w:r>
        <w:rPr>
          <w:rFonts w:hint="eastAsia"/>
          <w:spacing w:val="-6"/>
          <w:kern w:val="0"/>
          <w:szCs w:val="32"/>
        </w:rPr>
        <w:t>有关</w:t>
      </w:r>
      <w:r>
        <w:rPr>
          <w:spacing w:val="-6"/>
          <w:kern w:val="0"/>
          <w:szCs w:val="32"/>
        </w:rPr>
        <w:t>要求，市住房城乡建设委组织开展了行政规范性文件清理工作，现将废止的行政规范性文件目录予以公布。</w:t>
      </w:r>
    </w:p>
    <w:p w14:paraId="75499902">
      <w:pPr>
        <w:widowControl/>
        <w:spacing w:line="560" w:lineRule="exact"/>
        <w:ind w:firstLine="632" w:firstLineChars="200"/>
        <w:rPr>
          <w:spacing w:val="-6"/>
          <w:kern w:val="0"/>
          <w:szCs w:val="32"/>
        </w:rPr>
      </w:pPr>
      <w:r>
        <w:rPr>
          <w:kern w:val="0"/>
          <w:szCs w:val="32"/>
        </w:rPr>
        <w:t>特此公告。</w:t>
      </w:r>
    </w:p>
    <w:p w14:paraId="0A1F8A19">
      <w:pPr>
        <w:widowControl/>
        <w:spacing w:line="560" w:lineRule="exact"/>
        <w:ind w:firstLine="658"/>
        <w:jc w:val="left"/>
        <w:rPr>
          <w:spacing w:val="-6"/>
          <w:kern w:val="0"/>
          <w:szCs w:val="32"/>
        </w:rPr>
      </w:pPr>
    </w:p>
    <w:p w14:paraId="77FF8FF2">
      <w:pPr>
        <w:widowControl/>
        <w:spacing w:line="560" w:lineRule="exact"/>
        <w:ind w:firstLine="660"/>
        <w:jc w:val="left"/>
        <w:rPr>
          <w:spacing w:val="-6"/>
          <w:kern w:val="0"/>
          <w:szCs w:val="32"/>
        </w:rPr>
      </w:pPr>
      <w:r>
        <w:rPr>
          <w:spacing w:val="-6"/>
          <w:kern w:val="0"/>
          <w:szCs w:val="32"/>
        </w:rPr>
        <w:t>附件：市住房城乡建设委废止行政规范性文件目录</w:t>
      </w:r>
    </w:p>
    <w:p w14:paraId="781BF4F2">
      <w:pPr>
        <w:widowControl/>
        <w:shd w:val="clear" w:color="auto" w:fill="FFFFFF"/>
        <w:spacing w:line="560" w:lineRule="exact"/>
        <w:jc w:val="left"/>
        <w:rPr>
          <w:kern w:val="0"/>
          <w:szCs w:val="32"/>
        </w:rPr>
      </w:pPr>
      <w:r>
        <w:rPr>
          <w:kern w:val="0"/>
          <w:szCs w:val="32"/>
        </w:rPr>
        <w:t xml:space="preserve">                               </w:t>
      </w:r>
      <w:r>
        <w:rPr>
          <w:color w:val="FFFFFF"/>
          <w:kern w:val="0"/>
          <w:szCs w:val="32"/>
        </w:rPr>
        <w:t>此处公章</w:t>
      </w:r>
    </w:p>
    <w:p w14:paraId="298201CF">
      <w:pPr>
        <w:widowControl/>
        <w:shd w:val="clear" w:color="auto" w:fill="FFFFFF"/>
        <w:spacing w:line="560" w:lineRule="exact"/>
        <w:jc w:val="left"/>
        <w:rPr>
          <w:kern w:val="0"/>
          <w:szCs w:val="32"/>
        </w:rPr>
      </w:pPr>
    </w:p>
    <w:p w14:paraId="4248EE64">
      <w:pPr>
        <w:widowControl/>
        <w:shd w:val="clear" w:color="auto" w:fill="FFFFFF"/>
        <w:spacing w:line="560" w:lineRule="exact"/>
        <w:ind w:firstLine="3950" w:firstLineChars="1250"/>
        <w:jc w:val="left"/>
        <w:rPr>
          <w:kern w:val="0"/>
          <w:szCs w:val="32"/>
        </w:rPr>
      </w:pPr>
      <w:r>
        <w:rPr>
          <w:rFonts w:hint="eastAsia" w:cs="仿宋_GB2312"/>
          <w:szCs w:val="32"/>
        </w:rPr>
        <w:t>天津市住房和城乡建设委员会</w:t>
      </w:r>
    </w:p>
    <w:p w14:paraId="1B437C24">
      <w:pPr>
        <w:widowControl/>
        <w:shd w:val="clear" w:color="auto" w:fill="FFFFFF"/>
        <w:spacing w:line="560" w:lineRule="exact"/>
        <w:jc w:val="left"/>
        <w:rPr>
          <w:kern w:val="0"/>
          <w:szCs w:val="32"/>
        </w:rPr>
      </w:pPr>
      <w:r>
        <w:rPr>
          <w:kern w:val="0"/>
          <w:szCs w:val="32"/>
        </w:rPr>
        <w:t>　　                            202</w:t>
      </w:r>
      <w:r>
        <w:rPr>
          <w:rFonts w:hint="eastAsia"/>
          <w:kern w:val="0"/>
          <w:szCs w:val="32"/>
        </w:rPr>
        <w:t>6</w:t>
      </w:r>
      <w:r>
        <w:rPr>
          <w:kern w:val="0"/>
          <w:szCs w:val="32"/>
        </w:rPr>
        <w:t>年2月13日</w:t>
      </w:r>
    </w:p>
    <w:p w14:paraId="176B2287">
      <w:pPr>
        <w:widowControl/>
        <w:shd w:val="clear" w:color="auto" w:fill="FFFFFF"/>
        <w:spacing w:line="560" w:lineRule="exact"/>
        <w:ind w:firstLine="645"/>
        <w:jc w:val="left"/>
        <w:rPr>
          <w:kern w:val="0"/>
          <w:szCs w:val="32"/>
        </w:rPr>
      </w:pPr>
      <w:r>
        <w:rPr>
          <w:kern w:val="0"/>
          <w:szCs w:val="32"/>
        </w:rPr>
        <w:t>（此件主动公开）</w:t>
      </w:r>
    </w:p>
    <w:p w14:paraId="125D1194">
      <w:pPr>
        <w:widowControl/>
        <w:shd w:val="clear" w:color="auto" w:fill="FFFFFF"/>
        <w:spacing w:line="560" w:lineRule="exact"/>
        <w:ind w:firstLine="645"/>
        <w:jc w:val="left"/>
        <w:rPr>
          <w:kern w:val="0"/>
          <w:szCs w:val="32"/>
        </w:rPr>
      </w:pPr>
    </w:p>
    <w:p w14:paraId="62C09E63">
      <w:pPr>
        <w:widowControl/>
        <w:shd w:val="clear" w:color="auto" w:fill="FFFFFF"/>
        <w:spacing w:line="560" w:lineRule="exact"/>
        <w:ind w:firstLine="645"/>
        <w:jc w:val="left"/>
        <w:rPr>
          <w:kern w:val="0"/>
          <w:szCs w:val="32"/>
        </w:rPr>
      </w:pPr>
    </w:p>
    <w:p w14:paraId="6B525157">
      <w:pPr>
        <w:widowControl/>
        <w:shd w:val="clear" w:color="auto" w:fill="FFFFFF"/>
        <w:spacing w:line="560" w:lineRule="exact"/>
        <w:ind w:firstLine="645"/>
        <w:jc w:val="left"/>
        <w:rPr>
          <w:kern w:val="0"/>
          <w:szCs w:val="32"/>
        </w:rPr>
      </w:pPr>
    </w:p>
    <w:p w14:paraId="7AEC6E2C">
      <w:pPr>
        <w:widowControl/>
        <w:shd w:val="clear" w:color="auto" w:fill="FFFFFF"/>
        <w:spacing w:line="560" w:lineRule="exact"/>
        <w:ind w:firstLine="645"/>
        <w:jc w:val="left"/>
        <w:rPr>
          <w:kern w:val="0"/>
          <w:szCs w:val="32"/>
        </w:rPr>
      </w:pPr>
    </w:p>
    <w:p w14:paraId="46C398BA">
      <w:pPr>
        <w:widowControl/>
        <w:shd w:val="clear" w:color="auto" w:fill="FFFFFF"/>
        <w:spacing w:line="560" w:lineRule="exact"/>
        <w:ind w:firstLine="645"/>
        <w:jc w:val="left"/>
        <w:rPr>
          <w:kern w:val="0"/>
          <w:szCs w:val="32"/>
        </w:rPr>
      </w:pPr>
    </w:p>
    <w:p w14:paraId="1A3883C6">
      <w:pPr>
        <w:widowControl/>
        <w:shd w:val="clear" w:color="auto" w:fill="FFFFFF"/>
        <w:spacing w:line="560" w:lineRule="exact"/>
        <w:ind w:firstLine="645"/>
        <w:jc w:val="left"/>
        <w:rPr>
          <w:kern w:val="0"/>
          <w:szCs w:val="32"/>
        </w:rPr>
      </w:pPr>
    </w:p>
    <w:p w14:paraId="0897573E">
      <w:pPr>
        <w:widowControl/>
        <w:shd w:val="clear" w:color="auto" w:fill="FFFFFF"/>
        <w:spacing w:line="560" w:lineRule="exact"/>
        <w:ind w:firstLine="645"/>
        <w:jc w:val="left"/>
        <w:rPr>
          <w:kern w:val="0"/>
          <w:szCs w:val="32"/>
        </w:rPr>
      </w:pPr>
    </w:p>
    <w:p w14:paraId="5F30CFB7">
      <w:pPr>
        <w:widowControl/>
        <w:spacing w:line="560" w:lineRule="exact"/>
        <w:ind w:right="-766"/>
        <w:rPr>
          <w:rFonts w:ascii="黑体" w:hAnsi="黑体" w:eastAsia="黑体" w:cs="黑体"/>
          <w:kern w:val="0"/>
          <w:szCs w:val="32"/>
        </w:rPr>
      </w:pPr>
      <w:r>
        <w:rPr>
          <w:rFonts w:hint="eastAsia" w:ascii="黑体" w:hAnsi="黑体" w:eastAsia="黑体" w:cs="黑体"/>
          <w:kern w:val="0"/>
          <w:szCs w:val="32"/>
        </w:rPr>
        <w:t>附件</w:t>
      </w:r>
    </w:p>
    <w:p w14:paraId="7D72DBE2">
      <w:pPr>
        <w:widowControl/>
        <w:spacing w:line="560" w:lineRule="exact"/>
        <w:ind w:right="-766"/>
        <w:rPr>
          <w:rFonts w:ascii="黑体" w:hAnsi="黑体" w:eastAsia="黑体" w:cs="黑体"/>
          <w:kern w:val="0"/>
          <w:szCs w:val="32"/>
        </w:rPr>
      </w:pPr>
    </w:p>
    <w:p w14:paraId="3D915D88">
      <w:pPr>
        <w:widowControl/>
        <w:spacing w:after="160" w:line="560" w:lineRule="exact"/>
        <w:ind w:right="-766"/>
        <w:rPr>
          <w:rFonts w:eastAsia="华文中宋"/>
          <w:kern w:val="0"/>
          <w:sz w:val="44"/>
          <w:szCs w:val="44"/>
        </w:rPr>
      </w:pPr>
      <w:r>
        <w:rPr>
          <w:rFonts w:eastAsia="华文中宋"/>
          <w:kern w:val="0"/>
          <w:sz w:val="44"/>
          <w:szCs w:val="44"/>
        </w:rPr>
        <w:t xml:space="preserve"> 市住房城乡建设委废止行政规范性文件目录</w:t>
      </w:r>
    </w:p>
    <w:tbl>
      <w:tblPr>
        <w:tblStyle w:val="23"/>
        <w:tblW w:w="8926" w:type="dxa"/>
        <w:tblInd w:w="113" w:type="dxa"/>
        <w:tblLayout w:type="fixed"/>
        <w:tblCellMar>
          <w:top w:w="0" w:type="dxa"/>
          <w:left w:w="108" w:type="dxa"/>
          <w:bottom w:w="0" w:type="dxa"/>
          <w:right w:w="108" w:type="dxa"/>
        </w:tblCellMar>
      </w:tblPr>
      <w:tblGrid>
        <w:gridCol w:w="704"/>
        <w:gridCol w:w="2977"/>
        <w:gridCol w:w="5245"/>
      </w:tblGrid>
      <w:tr w14:paraId="69607A5E">
        <w:tblPrEx>
          <w:tblCellMar>
            <w:top w:w="0" w:type="dxa"/>
            <w:left w:w="108" w:type="dxa"/>
            <w:bottom w:w="0" w:type="dxa"/>
            <w:right w:w="108" w:type="dxa"/>
          </w:tblCellMar>
        </w:tblPrEx>
        <w:trPr>
          <w:trHeight w:val="539" w:hRule="atLeast"/>
        </w:trPr>
        <w:tc>
          <w:tcPr>
            <w:tcW w:w="704" w:type="dxa"/>
            <w:tcBorders>
              <w:top w:val="single" w:color="auto" w:sz="4" w:space="0"/>
              <w:left w:val="single" w:color="auto" w:sz="4" w:space="0"/>
              <w:bottom w:val="single" w:color="auto" w:sz="4" w:space="0"/>
              <w:right w:val="single" w:color="auto" w:sz="4" w:space="0"/>
            </w:tcBorders>
            <w:vAlign w:val="center"/>
          </w:tcPr>
          <w:p w14:paraId="145764C1">
            <w:pPr>
              <w:widowControl/>
              <w:jc w:val="center"/>
              <w:rPr>
                <w:rFonts w:ascii="宋体" w:hAnsi="宋体" w:cs="宋体"/>
                <w:b/>
                <w:bCs/>
                <w:kern w:val="0"/>
                <w:sz w:val="24"/>
              </w:rPr>
            </w:pPr>
            <w:r>
              <w:rPr>
                <w:rFonts w:hint="eastAsia" w:ascii="宋体" w:hAnsi="宋体" w:cs="宋体"/>
                <w:b/>
                <w:bCs/>
                <w:kern w:val="0"/>
                <w:sz w:val="24"/>
              </w:rPr>
              <w:t>序号</w:t>
            </w:r>
          </w:p>
        </w:tc>
        <w:tc>
          <w:tcPr>
            <w:tcW w:w="2977" w:type="dxa"/>
            <w:tcBorders>
              <w:top w:val="single" w:color="auto" w:sz="4" w:space="0"/>
              <w:left w:val="nil"/>
              <w:bottom w:val="single" w:color="auto" w:sz="4" w:space="0"/>
              <w:right w:val="single" w:color="auto" w:sz="4" w:space="0"/>
            </w:tcBorders>
            <w:vAlign w:val="center"/>
          </w:tcPr>
          <w:p w14:paraId="3F36586C">
            <w:pPr>
              <w:widowControl/>
              <w:jc w:val="center"/>
              <w:rPr>
                <w:rFonts w:ascii="宋体" w:hAnsi="宋体" w:cs="宋体"/>
                <w:b/>
                <w:bCs/>
                <w:kern w:val="0"/>
                <w:sz w:val="24"/>
              </w:rPr>
            </w:pPr>
            <w:r>
              <w:rPr>
                <w:rFonts w:hint="eastAsia" w:ascii="宋体" w:hAnsi="宋体" w:cs="宋体"/>
                <w:b/>
                <w:bCs/>
                <w:kern w:val="0"/>
                <w:sz w:val="24"/>
              </w:rPr>
              <w:t>文 号</w:t>
            </w:r>
          </w:p>
        </w:tc>
        <w:tc>
          <w:tcPr>
            <w:tcW w:w="5245" w:type="dxa"/>
            <w:tcBorders>
              <w:top w:val="single" w:color="auto" w:sz="4" w:space="0"/>
              <w:left w:val="nil"/>
              <w:bottom w:val="single" w:color="auto" w:sz="4" w:space="0"/>
              <w:right w:val="single" w:color="auto" w:sz="4" w:space="0"/>
            </w:tcBorders>
            <w:vAlign w:val="center"/>
          </w:tcPr>
          <w:p w14:paraId="792DAA7D">
            <w:pPr>
              <w:widowControl/>
              <w:jc w:val="center"/>
              <w:rPr>
                <w:rFonts w:ascii="宋体" w:hAnsi="宋体" w:cs="宋体"/>
                <w:b/>
                <w:bCs/>
                <w:kern w:val="0"/>
                <w:sz w:val="24"/>
              </w:rPr>
            </w:pPr>
            <w:r>
              <w:rPr>
                <w:rFonts w:hint="eastAsia" w:ascii="宋体" w:hAnsi="宋体" w:cs="宋体"/>
                <w:b/>
                <w:bCs/>
                <w:kern w:val="0"/>
                <w:sz w:val="24"/>
              </w:rPr>
              <w:t>文 件 名 称</w:t>
            </w:r>
          </w:p>
        </w:tc>
      </w:tr>
      <w:tr w14:paraId="66F25759">
        <w:tblPrEx>
          <w:tblCellMar>
            <w:top w:w="0" w:type="dxa"/>
            <w:left w:w="108" w:type="dxa"/>
            <w:bottom w:w="0" w:type="dxa"/>
            <w:right w:w="108" w:type="dxa"/>
          </w:tblCellMar>
        </w:tblPrEx>
        <w:trPr>
          <w:trHeight w:val="859" w:hRule="atLeast"/>
        </w:trPr>
        <w:tc>
          <w:tcPr>
            <w:tcW w:w="704" w:type="dxa"/>
            <w:tcBorders>
              <w:top w:val="nil"/>
              <w:left w:val="single" w:color="auto" w:sz="4" w:space="0"/>
              <w:bottom w:val="single" w:color="auto" w:sz="4" w:space="0"/>
              <w:right w:val="single" w:color="auto" w:sz="4" w:space="0"/>
            </w:tcBorders>
            <w:vAlign w:val="center"/>
          </w:tcPr>
          <w:p w14:paraId="72814F29">
            <w:pPr>
              <w:widowControl/>
              <w:jc w:val="center"/>
              <w:textAlignment w:val="center"/>
              <w:rPr>
                <w:rFonts w:ascii="仿宋_GB2312" w:hAnsi="宋体" w:cs="宋体"/>
                <w:kern w:val="0"/>
                <w:sz w:val="24"/>
              </w:rPr>
            </w:pPr>
            <w:r>
              <w:rPr>
                <w:rFonts w:hint="eastAsia" w:ascii="仿宋_GB2312" w:hAnsi="宋体" w:cs="仿宋_GB2312"/>
                <w:color w:val="000000"/>
                <w:kern w:val="0"/>
                <w:sz w:val="24"/>
              </w:rPr>
              <w:t>1</w:t>
            </w:r>
          </w:p>
        </w:tc>
        <w:tc>
          <w:tcPr>
            <w:tcW w:w="2977" w:type="dxa"/>
            <w:tcBorders>
              <w:top w:val="nil"/>
              <w:left w:val="nil"/>
              <w:bottom w:val="single" w:color="auto" w:sz="4" w:space="0"/>
              <w:right w:val="single" w:color="auto" w:sz="4" w:space="0"/>
            </w:tcBorders>
            <w:vAlign w:val="center"/>
          </w:tcPr>
          <w:p w14:paraId="4AFF63C3">
            <w:pPr>
              <w:widowControl/>
              <w:jc w:val="center"/>
              <w:textAlignment w:val="center"/>
              <w:rPr>
                <w:rFonts w:cs="宋体"/>
                <w:kern w:val="0"/>
                <w:sz w:val="24"/>
              </w:rPr>
            </w:pPr>
            <w:r>
              <w:rPr>
                <w:rFonts w:hint="eastAsia" w:cs="仿宋_GB2312"/>
                <w:color w:val="000000"/>
                <w:kern w:val="0"/>
                <w:sz w:val="24"/>
              </w:rPr>
              <w:t>建质安〔2013〕579号</w:t>
            </w:r>
          </w:p>
        </w:tc>
        <w:tc>
          <w:tcPr>
            <w:tcW w:w="5245" w:type="dxa"/>
            <w:tcBorders>
              <w:top w:val="nil"/>
              <w:left w:val="nil"/>
              <w:bottom w:val="single" w:color="auto" w:sz="4" w:space="0"/>
              <w:right w:val="single" w:color="auto" w:sz="4" w:space="0"/>
            </w:tcBorders>
            <w:vAlign w:val="center"/>
          </w:tcPr>
          <w:p w14:paraId="7C25FEBC">
            <w:pPr>
              <w:widowControl/>
              <w:jc w:val="left"/>
              <w:textAlignment w:val="center"/>
              <w:rPr>
                <w:rFonts w:ascii="仿宋_GB2312" w:hAnsi="宋体" w:cs="宋体"/>
                <w:kern w:val="0"/>
                <w:sz w:val="24"/>
              </w:rPr>
            </w:pPr>
            <w:r>
              <w:rPr>
                <w:rFonts w:hint="eastAsia" w:ascii="仿宋_GB2312" w:hAnsi="宋体" w:cs="仿宋_GB2312"/>
                <w:color w:val="000000"/>
                <w:kern w:val="0"/>
                <w:sz w:val="24"/>
              </w:rPr>
              <w:t xml:space="preserve">市建设交通委关于印发天津市建设工程带班检查和带班生产规定的通知 </w:t>
            </w:r>
          </w:p>
        </w:tc>
      </w:tr>
      <w:tr w14:paraId="6C09385D">
        <w:tblPrEx>
          <w:tblCellMar>
            <w:top w:w="0" w:type="dxa"/>
            <w:left w:w="108" w:type="dxa"/>
            <w:bottom w:w="0" w:type="dxa"/>
            <w:right w:w="108" w:type="dxa"/>
          </w:tblCellMar>
        </w:tblPrEx>
        <w:trPr>
          <w:trHeight w:val="780" w:hRule="atLeast"/>
        </w:trPr>
        <w:tc>
          <w:tcPr>
            <w:tcW w:w="704" w:type="dxa"/>
            <w:tcBorders>
              <w:top w:val="nil"/>
              <w:left w:val="single" w:color="auto" w:sz="4" w:space="0"/>
              <w:bottom w:val="single" w:color="auto" w:sz="4" w:space="0"/>
              <w:right w:val="single" w:color="auto" w:sz="4" w:space="0"/>
            </w:tcBorders>
            <w:vAlign w:val="center"/>
          </w:tcPr>
          <w:p w14:paraId="28A20EEB">
            <w:pPr>
              <w:widowControl/>
              <w:jc w:val="center"/>
              <w:textAlignment w:val="center"/>
              <w:rPr>
                <w:rFonts w:ascii="仿宋_GB2312" w:hAnsi="宋体" w:cs="宋体"/>
                <w:kern w:val="0"/>
                <w:sz w:val="24"/>
              </w:rPr>
            </w:pPr>
            <w:r>
              <w:rPr>
                <w:rFonts w:hint="eastAsia" w:ascii="仿宋_GB2312" w:hAnsi="宋体" w:cs="仿宋_GB2312"/>
                <w:color w:val="000000"/>
                <w:kern w:val="0"/>
                <w:sz w:val="24"/>
              </w:rPr>
              <w:t>2</w:t>
            </w:r>
          </w:p>
        </w:tc>
        <w:tc>
          <w:tcPr>
            <w:tcW w:w="2977" w:type="dxa"/>
            <w:tcBorders>
              <w:top w:val="nil"/>
              <w:left w:val="nil"/>
              <w:bottom w:val="single" w:color="auto" w:sz="4" w:space="0"/>
              <w:right w:val="single" w:color="auto" w:sz="4" w:space="0"/>
            </w:tcBorders>
            <w:vAlign w:val="center"/>
          </w:tcPr>
          <w:p w14:paraId="4FBA9AF3">
            <w:pPr>
              <w:widowControl/>
              <w:jc w:val="center"/>
              <w:textAlignment w:val="center"/>
              <w:rPr>
                <w:rFonts w:cs="宋体"/>
                <w:kern w:val="0"/>
                <w:sz w:val="24"/>
              </w:rPr>
            </w:pPr>
            <w:r>
              <w:rPr>
                <w:rFonts w:hint="eastAsia" w:cs="仿宋_GB2312"/>
                <w:color w:val="000000"/>
                <w:kern w:val="0"/>
                <w:sz w:val="24"/>
              </w:rPr>
              <w:t>津建招标〔2015〕431号</w:t>
            </w:r>
          </w:p>
        </w:tc>
        <w:tc>
          <w:tcPr>
            <w:tcW w:w="5245" w:type="dxa"/>
            <w:tcBorders>
              <w:top w:val="nil"/>
              <w:left w:val="nil"/>
              <w:bottom w:val="single" w:color="auto" w:sz="4" w:space="0"/>
              <w:right w:val="single" w:color="auto" w:sz="4" w:space="0"/>
            </w:tcBorders>
            <w:vAlign w:val="center"/>
          </w:tcPr>
          <w:p w14:paraId="6588D90C">
            <w:pPr>
              <w:widowControl/>
              <w:jc w:val="left"/>
              <w:textAlignment w:val="center"/>
              <w:rPr>
                <w:rFonts w:ascii="仿宋_GB2312" w:hAnsi="宋体" w:cs="宋体"/>
                <w:kern w:val="0"/>
                <w:sz w:val="24"/>
              </w:rPr>
            </w:pPr>
            <w:r>
              <w:rPr>
                <w:rFonts w:hint="eastAsia" w:ascii="仿宋_GB2312" w:hAnsi="宋体" w:cs="仿宋_GB2312"/>
                <w:color w:val="000000"/>
                <w:kern w:val="0"/>
                <w:sz w:val="24"/>
              </w:rPr>
              <w:t>市建委关于印发天津市建设工程评标专家和评标专家库管理办法的通知</w:t>
            </w:r>
          </w:p>
        </w:tc>
      </w:tr>
      <w:tr w14:paraId="1FC29834">
        <w:tblPrEx>
          <w:tblCellMar>
            <w:top w:w="0" w:type="dxa"/>
            <w:left w:w="108" w:type="dxa"/>
            <w:bottom w:w="0" w:type="dxa"/>
            <w:right w:w="108" w:type="dxa"/>
          </w:tblCellMar>
        </w:tblPrEx>
        <w:trPr>
          <w:trHeight w:val="780" w:hRule="atLeast"/>
        </w:trPr>
        <w:tc>
          <w:tcPr>
            <w:tcW w:w="704" w:type="dxa"/>
            <w:tcBorders>
              <w:top w:val="nil"/>
              <w:left w:val="single" w:color="auto" w:sz="4" w:space="0"/>
              <w:bottom w:val="single" w:color="auto" w:sz="4" w:space="0"/>
              <w:right w:val="single" w:color="auto" w:sz="4" w:space="0"/>
            </w:tcBorders>
            <w:vAlign w:val="center"/>
          </w:tcPr>
          <w:p w14:paraId="7F1F9E65">
            <w:pPr>
              <w:widowControl/>
              <w:jc w:val="center"/>
              <w:textAlignment w:val="center"/>
              <w:rPr>
                <w:rFonts w:ascii="仿宋_GB2312" w:hAnsi="宋体" w:cs="宋体"/>
                <w:kern w:val="0"/>
                <w:sz w:val="24"/>
              </w:rPr>
            </w:pPr>
            <w:r>
              <w:rPr>
                <w:rFonts w:hint="eastAsia" w:ascii="仿宋_GB2312" w:hAnsi="宋体" w:cs="仿宋_GB2312"/>
                <w:color w:val="000000"/>
                <w:kern w:val="0"/>
                <w:sz w:val="24"/>
              </w:rPr>
              <w:t>3</w:t>
            </w:r>
          </w:p>
        </w:tc>
        <w:tc>
          <w:tcPr>
            <w:tcW w:w="2977" w:type="dxa"/>
            <w:tcBorders>
              <w:top w:val="nil"/>
              <w:left w:val="nil"/>
              <w:bottom w:val="single" w:color="auto" w:sz="4" w:space="0"/>
              <w:right w:val="single" w:color="auto" w:sz="4" w:space="0"/>
            </w:tcBorders>
            <w:vAlign w:val="center"/>
          </w:tcPr>
          <w:p w14:paraId="6D2B46CF">
            <w:pPr>
              <w:widowControl/>
              <w:jc w:val="center"/>
              <w:textAlignment w:val="center"/>
              <w:rPr>
                <w:rFonts w:cs="宋体"/>
                <w:kern w:val="0"/>
                <w:sz w:val="24"/>
              </w:rPr>
            </w:pPr>
            <w:r>
              <w:rPr>
                <w:rFonts w:hint="eastAsia" w:cs="仿宋_GB2312"/>
                <w:color w:val="000000"/>
                <w:kern w:val="0"/>
                <w:sz w:val="24"/>
              </w:rPr>
              <w:t>津建设材〔2016〕327号</w:t>
            </w:r>
          </w:p>
        </w:tc>
        <w:tc>
          <w:tcPr>
            <w:tcW w:w="5245" w:type="dxa"/>
            <w:tcBorders>
              <w:top w:val="nil"/>
              <w:left w:val="nil"/>
              <w:bottom w:val="single" w:color="auto" w:sz="4" w:space="0"/>
              <w:right w:val="single" w:color="auto" w:sz="4" w:space="0"/>
            </w:tcBorders>
            <w:vAlign w:val="center"/>
          </w:tcPr>
          <w:p w14:paraId="3C550593">
            <w:pPr>
              <w:widowControl/>
              <w:jc w:val="left"/>
              <w:textAlignment w:val="center"/>
              <w:rPr>
                <w:rFonts w:ascii="仿宋_GB2312" w:hAnsi="宋体" w:cs="宋体"/>
                <w:kern w:val="0"/>
                <w:sz w:val="24"/>
              </w:rPr>
            </w:pPr>
            <w:r>
              <w:rPr>
                <w:rFonts w:hint="eastAsia" w:ascii="仿宋_GB2312" w:hAnsi="宋体" w:cs="仿宋_GB2312"/>
                <w:color w:val="000000"/>
                <w:kern w:val="0"/>
                <w:sz w:val="24"/>
              </w:rPr>
              <w:t xml:space="preserve">市建委关于我市建筑施工机械备案有关事宜的通知 </w:t>
            </w:r>
          </w:p>
        </w:tc>
      </w:tr>
      <w:tr w14:paraId="33818610">
        <w:tblPrEx>
          <w:tblCellMar>
            <w:top w:w="0" w:type="dxa"/>
            <w:left w:w="108" w:type="dxa"/>
            <w:bottom w:w="0" w:type="dxa"/>
            <w:right w:w="108" w:type="dxa"/>
          </w:tblCellMar>
        </w:tblPrEx>
        <w:trPr>
          <w:trHeight w:val="720" w:hRule="atLeast"/>
        </w:trPr>
        <w:tc>
          <w:tcPr>
            <w:tcW w:w="704" w:type="dxa"/>
            <w:tcBorders>
              <w:top w:val="nil"/>
              <w:left w:val="single" w:color="auto" w:sz="4" w:space="0"/>
              <w:bottom w:val="single" w:color="auto" w:sz="4" w:space="0"/>
              <w:right w:val="single" w:color="auto" w:sz="4" w:space="0"/>
            </w:tcBorders>
            <w:vAlign w:val="center"/>
          </w:tcPr>
          <w:p w14:paraId="2EFFBE2E">
            <w:pPr>
              <w:widowControl/>
              <w:jc w:val="center"/>
              <w:textAlignment w:val="center"/>
              <w:rPr>
                <w:rFonts w:ascii="仿宋_GB2312" w:hAnsi="宋体" w:cs="宋体"/>
                <w:kern w:val="0"/>
                <w:sz w:val="24"/>
              </w:rPr>
            </w:pPr>
            <w:r>
              <w:rPr>
                <w:rFonts w:hint="eastAsia" w:ascii="仿宋_GB2312" w:hAnsi="宋体" w:cs="仿宋_GB2312"/>
                <w:color w:val="000000"/>
                <w:kern w:val="0"/>
                <w:sz w:val="24"/>
              </w:rPr>
              <w:t>4</w:t>
            </w:r>
          </w:p>
        </w:tc>
        <w:tc>
          <w:tcPr>
            <w:tcW w:w="2977" w:type="dxa"/>
            <w:tcBorders>
              <w:top w:val="nil"/>
              <w:left w:val="nil"/>
              <w:bottom w:val="single" w:color="auto" w:sz="4" w:space="0"/>
              <w:right w:val="single" w:color="auto" w:sz="4" w:space="0"/>
            </w:tcBorders>
            <w:vAlign w:val="center"/>
          </w:tcPr>
          <w:p w14:paraId="096DECC1">
            <w:pPr>
              <w:widowControl/>
              <w:jc w:val="center"/>
              <w:textAlignment w:val="center"/>
              <w:rPr>
                <w:rFonts w:cs="宋体"/>
                <w:kern w:val="0"/>
                <w:sz w:val="24"/>
              </w:rPr>
            </w:pPr>
            <w:r>
              <w:rPr>
                <w:rFonts w:hint="eastAsia" w:cs="仿宋_GB2312"/>
                <w:color w:val="000000"/>
                <w:kern w:val="0"/>
                <w:sz w:val="24"/>
              </w:rPr>
              <w:t>津国土房发〔2017〕6号</w:t>
            </w:r>
          </w:p>
        </w:tc>
        <w:tc>
          <w:tcPr>
            <w:tcW w:w="5245" w:type="dxa"/>
            <w:tcBorders>
              <w:top w:val="nil"/>
              <w:left w:val="nil"/>
              <w:bottom w:val="single" w:color="auto" w:sz="4" w:space="0"/>
              <w:right w:val="single" w:color="auto" w:sz="4" w:space="0"/>
            </w:tcBorders>
            <w:vAlign w:val="center"/>
          </w:tcPr>
          <w:p w14:paraId="70B57FE9">
            <w:pPr>
              <w:widowControl/>
              <w:jc w:val="left"/>
              <w:textAlignment w:val="center"/>
              <w:rPr>
                <w:rFonts w:ascii="仿宋_GB2312" w:hAnsi="宋体" w:cs="宋体"/>
                <w:kern w:val="0"/>
                <w:sz w:val="24"/>
              </w:rPr>
            </w:pPr>
            <w:r>
              <w:rPr>
                <w:rFonts w:hint="eastAsia" w:ascii="仿宋_GB2312" w:hAnsi="宋体" w:cs="仿宋_GB2312"/>
                <w:color w:val="000000"/>
                <w:kern w:val="0"/>
                <w:sz w:val="24"/>
              </w:rPr>
              <w:t>市国土房管局关于落实房地产市场调控工作有关问题的通知</w:t>
            </w:r>
          </w:p>
        </w:tc>
      </w:tr>
      <w:tr w14:paraId="19B4326B">
        <w:tblPrEx>
          <w:tblCellMar>
            <w:top w:w="0" w:type="dxa"/>
            <w:left w:w="108" w:type="dxa"/>
            <w:bottom w:w="0" w:type="dxa"/>
            <w:right w:w="108" w:type="dxa"/>
          </w:tblCellMar>
        </w:tblPrEx>
        <w:trPr>
          <w:trHeight w:val="937" w:hRule="atLeast"/>
        </w:trPr>
        <w:tc>
          <w:tcPr>
            <w:tcW w:w="704" w:type="dxa"/>
            <w:tcBorders>
              <w:top w:val="nil"/>
              <w:left w:val="single" w:color="auto" w:sz="4" w:space="0"/>
              <w:bottom w:val="single" w:color="auto" w:sz="4" w:space="0"/>
              <w:right w:val="single" w:color="auto" w:sz="4" w:space="0"/>
            </w:tcBorders>
            <w:vAlign w:val="center"/>
          </w:tcPr>
          <w:p w14:paraId="7F468E83">
            <w:pPr>
              <w:widowControl/>
              <w:jc w:val="center"/>
              <w:textAlignment w:val="center"/>
              <w:rPr>
                <w:rFonts w:ascii="仿宋_GB2312" w:hAnsi="宋体" w:cs="宋体"/>
                <w:kern w:val="0"/>
                <w:sz w:val="24"/>
              </w:rPr>
            </w:pPr>
            <w:r>
              <w:rPr>
                <w:rFonts w:hint="eastAsia" w:ascii="仿宋_GB2312" w:hAnsi="宋体" w:cs="仿宋_GB2312"/>
                <w:color w:val="000000"/>
                <w:kern w:val="0"/>
                <w:sz w:val="24"/>
              </w:rPr>
              <w:t>5</w:t>
            </w:r>
          </w:p>
        </w:tc>
        <w:tc>
          <w:tcPr>
            <w:tcW w:w="2977" w:type="dxa"/>
            <w:tcBorders>
              <w:top w:val="nil"/>
              <w:left w:val="nil"/>
              <w:bottom w:val="single" w:color="auto" w:sz="4" w:space="0"/>
              <w:right w:val="single" w:color="auto" w:sz="4" w:space="0"/>
            </w:tcBorders>
            <w:vAlign w:val="center"/>
          </w:tcPr>
          <w:p w14:paraId="54E98D91">
            <w:pPr>
              <w:widowControl/>
              <w:jc w:val="center"/>
              <w:textAlignment w:val="center"/>
              <w:rPr>
                <w:rFonts w:cs="宋体"/>
                <w:kern w:val="0"/>
                <w:sz w:val="24"/>
              </w:rPr>
            </w:pPr>
            <w:r>
              <w:rPr>
                <w:rFonts w:hint="eastAsia" w:cs="仿宋_GB2312"/>
                <w:color w:val="000000"/>
                <w:kern w:val="0"/>
                <w:sz w:val="24"/>
              </w:rPr>
              <w:t>津建质安〔2017〕498号</w:t>
            </w:r>
          </w:p>
        </w:tc>
        <w:tc>
          <w:tcPr>
            <w:tcW w:w="5245" w:type="dxa"/>
            <w:tcBorders>
              <w:top w:val="nil"/>
              <w:left w:val="nil"/>
              <w:bottom w:val="single" w:color="auto" w:sz="4" w:space="0"/>
              <w:right w:val="single" w:color="auto" w:sz="4" w:space="0"/>
            </w:tcBorders>
            <w:vAlign w:val="center"/>
          </w:tcPr>
          <w:p w14:paraId="26CBF95D">
            <w:pPr>
              <w:widowControl/>
              <w:jc w:val="left"/>
              <w:textAlignment w:val="center"/>
              <w:rPr>
                <w:rFonts w:ascii="仿宋_GB2312" w:hAnsi="宋体" w:cs="宋体"/>
                <w:kern w:val="0"/>
                <w:sz w:val="24"/>
              </w:rPr>
            </w:pPr>
            <w:r>
              <w:rPr>
                <w:rFonts w:hint="eastAsia" w:ascii="仿宋_GB2312" w:hAnsi="宋体" w:cs="仿宋_GB2312"/>
                <w:color w:val="000000"/>
                <w:kern w:val="0"/>
                <w:sz w:val="24"/>
              </w:rPr>
              <w:t xml:space="preserve">市建委关于加强公共建筑装饰装修工程安全管理的紧急通知 </w:t>
            </w:r>
          </w:p>
        </w:tc>
      </w:tr>
    </w:tbl>
    <w:p w14:paraId="1B3B7391">
      <w:pPr>
        <w:wordWrap w:val="0"/>
        <w:spacing w:line="560" w:lineRule="exact"/>
        <w:rPr>
          <w:sz w:val="36"/>
          <w:szCs w:val="36"/>
        </w:rPr>
      </w:pPr>
    </w:p>
    <w:p w14:paraId="658C5D1A">
      <w:pPr>
        <w:spacing w:line="600" w:lineRule="exact"/>
        <w:jc w:val="center"/>
        <w:rPr>
          <w:rFonts w:eastAsia="方正小标宋简体"/>
          <w:sz w:val="44"/>
          <w:szCs w:val="44"/>
        </w:rPr>
      </w:pPr>
    </w:p>
    <w:p w14:paraId="17B92D9C">
      <w:pPr>
        <w:spacing w:line="600" w:lineRule="exact"/>
        <w:jc w:val="center"/>
        <w:rPr>
          <w:rFonts w:eastAsia="方正小标宋简体"/>
          <w:sz w:val="44"/>
          <w:szCs w:val="44"/>
        </w:rPr>
      </w:pPr>
    </w:p>
    <w:p w14:paraId="1105A120">
      <w:pPr>
        <w:spacing w:line="600" w:lineRule="exact"/>
        <w:jc w:val="center"/>
        <w:rPr>
          <w:rFonts w:eastAsia="方正小标宋简体"/>
          <w:sz w:val="44"/>
          <w:szCs w:val="44"/>
        </w:rPr>
      </w:pPr>
    </w:p>
    <w:p w14:paraId="6D10FF42">
      <w:pPr>
        <w:spacing w:line="600" w:lineRule="exact"/>
        <w:jc w:val="center"/>
        <w:rPr>
          <w:rFonts w:eastAsia="方正小标宋简体"/>
          <w:sz w:val="44"/>
          <w:szCs w:val="44"/>
        </w:rPr>
      </w:pPr>
    </w:p>
    <w:sectPr>
      <w:footerReference r:id="rId5" w:type="first"/>
      <w:footerReference r:id="rId3" w:type="default"/>
      <w:footerReference r:id="rId4" w:type="even"/>
      <w:pgSz w:w="11906" w:h="16838"/>
      <w:pgMar w:top="2098" w:right="1418" w:bottom="1985" w:left="1588" w:header="851" w:footer="1588" w:gutter="0"/>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CA3CB">
    <w:pPr>
      <w:pStyle w:val="15"/>
      <w:framePr w:wrap="around" w:vAnchor="text" w:hAnchor="margin" w:xAlign="outside" w:y="1"/>
      <w:rPr>
        <w:rStyle w:val="25"/>
        <w:rFonts w:ascii="宋体" w:hAnsi="宋体" w:eastAsia="宋体"/>
        <w:sz w:val="28"/>
        <w:szCs w:val="28"/>
      </w:rPr>
    </w:pPr>
    <w:r>
      <w:rPr>
        <w:rStyle w:val="25"/>
        <w:rFonts w:ascii="宋体" w:hAnsi="宋体" w:eastAsia="宋体"/>
        <w:sz w:val="28"/>
        <w:szCs w:val="28"/>
      </w:rPr>
      <w:fldChar w:fldCharType="begin"/>
    </w:r>
    <w:r>
      <w:rPr>
        <w:rStyle w:val="25"/>
        <w:rFonts w:ascii="宋体" w:hAnsi="宋体" w:eastAsia="宋体"/>
        <w:sz w:val="28"/>
        <w:szCs w:val="28"/>
      </w:rPr>
      <w:instrText xml:space="preserve">PAGE  </w:instrText>
    </w:r>
    <w:r>
      <w:rPr>
        <w:rStyle w:val="25"/>
        <w:rFonts w:ascii="宋体" w:hAnsi="宋体" w:eastAsia="宋体"/>
        <w:sz w:val="28"/>
        <w:szCs w:val="28"/>
      </w:rPr>
      <w:fldChar w:fldCharType="separate"/>
    </w:r>
    <w:r>
      <w:rPr>
        <w:rStyle w:val="25"/>
        <w:rFonts w:ascii="宋体" w:hAnsi="宋体" w:eastAsia="宋体"/>
        <w:sz w:val="28"/>
        <w:szCs w:val="28"/>
      </w:rPr>
      <w:t>- 2 -</w:t>
    </w:r>
    <w:r>
      <w:rPr>
        <w:rStyle w:val="25"/>
        <w:rFonts w:ascii="宋体" w:hAnsi="宋体" w:eastAsia="宋体"/>
        <w:sz w:val="28"/>
        <w:szCs w:val="28"/>
      </w:rPr>
      <w:fldChar w:fldCharType="end"/>
    </w:r>
  </w:p>
  <w:p w14:paraId="594B8965">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543DD">
    <w:pPr>
      <w:pStyle w:val="15"/>
      <w:framePr w:wrap="around" w:vAnchor="text" w:hAnchor="margin" w:xAlign="outside" w:y="1"/>
      <w:rPr>
        <w:rStyle w:val="25"/>
      </w:rPr>
    </w:pPr>
    <w:r>
      <w:rPr>
        <w:rStyle w:val="25"/>
      </w:rPr>
      <w:fldChar w:fldCharType="begin"/>
    </w:r>
    <w:r>
      <w:rPr>
        <w:rStyle w:val="25"/>
      </w:rPr>
      <w:instrText xml:space="preserve">PAGE  </w:instrText>
    </w:r>
    <w:r>
      <w:rPr>
        <w:rStyle w:val="25"/>
      </w:rPr>
      <w:fldChar w:fldCharType="separate"/>
    </w:r>
    <w:r>
      <w:rPr>
        <w:rStyle w:val="25"/>
      </w:rPr>
      <w:t xml:space="preserve"> </w:t>
    </w:r>
    <w:r>
      <w:rPr>
        <w:rStyle w:val="25"/>
      </w:rPr>
      <w:fldChar w:fldCharType="end"/>
    </w:r>
  </w:p>
  <w:p w14:paraId="7D188FA6">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B3872">
    <w:pPr>
      <w:pStyle w:val="15"/>
      <w:jc w:val="both"/>
      <w:rPr>
        <w:sz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doNotTrackMoves/>
  <w:documentProtection w:enforcement="0"/>
  <w:defaultTabStop w:val="420"/>
  <w:drawingGridHorizontalSpacing w:val="158"/>
  <w:drawingGridVerticalSpacing w:val="579"/>
  <w:displayHorizontalDrawingGridEvery w:val="0"/>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B1F"/>
    <w:rsid w:val="00142B1F"/>
    <w:rsid w:val="006F4B57"/>
    <w:rsid w:val="00726182"/>
    <w:rsid w:val="00E470EB"/>
    <w:rsid w:val="00F8134B"/>
    <w:rsid w:val="2DBC3A61"/>
    <w:rsid w:val="791240E2"/>
    <w:rsid w:val="7EF6586D"/>
    <w:rsid w:val="7FA84F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0"/>
    <w:pPr>
      <w:keepNext/>
      <w:keepLines/>
      <w:spacing w:before="260" w:after="260" w:line="415" w:lineRule="auto"/>
      <w:outlineLvl w:val="1"/>
    </w:pPr>
    <w:rPr>
      <w:rFonts w:eastAsia="黑体"/>
      <w:b/>
      <w:bCs/>
      <w:szCs w:val="32"/>
    </w:rPr>
  </w:style>
  <w:style w:type="paragraph" w:styleId="4">
    <w:name w:val="heading 3"/>
    <w:basedOn w:val="1"/>
    <w:next w:val="1"/>
    <w:link w:val="29"/>
    <w:qFormat/>
    <w:uiPriority w:val="0"/>
    <w:pPr>
      <w:keepNext/>
      <w:keepLines/>
      <w:spacing w:before="260" w:after="260" w:line="415" w:lineRule="auto"/>
      <w:outlineLvl w:val="2"/>
    </w:pPr>
    <w:rPr>
      <w:b/>
      <w:bCs/>
      <w:szCs w:val="32"/>
    </w:rPr>
  </w:style>
  <w:style w:type="character" w:default="1" w:styleId="24">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spacing w:line="360" w:lineRule="auto"/>
    </w:pPr>
    <w:rPr>
      <w:rFonts w:ascii="仿宋_GB2312"/>
      <w:szCs w:val="20"/>
    </w:rPr>
  </w:style>
  <w:style w:type="paragraph" w:styleId="6">
    <w:name w:val="Document Map"/>
    <w:basedOn w:val="1"/>
    <w:qFormat/>
    <w:uiPriority w:val="0"/>
    <w:pPr>
      <w:shd w:val="clear" w:color="auto" w:fill="000080"/>
    </w:pPr>
  </w:style>
  <w:style w:type="paragraph" w:styleId="7">
    <w:name w:val="Body Text"/>
    <w:basedOn w:val="1"/>
    <w:qFormat/>
    <w:uiPriority w:val="0"/>
  </w:style>
  <w:style w:type="paragraph" w:styleId="8">
    <w:name w:val="Body Text Indent"/>
    <w:basedOn w:val="1"/>
    <w:qFormat/>
    <w:uiPriority w:val="0"/>
    <w:pPr>
      <w:spacing w:after="120"/>
      <w:ind w:left="200" w:leftChars="200"/>
    </w:pPr>
    <w:rPr>
      <w:rFonts w:eastAsia="宋体"/>
      <w:sz w:val="21"/>
    </w:rPr>
  </w:style>
  <w:style w:type="paragraph" w:styleId="9">
    <w:name w:val="toc 5"/>
    <w:basedOn w:val="1"/>
    <w:next w:val="1"/>
    <w:qFormat/>
    <w:uiPriority w:val="0"/>
    <w:pPr>
      <w:ind w:left="1680"/>
    </w:pPr>
  </w:style>
  <w:style w:type="paragraph" w:styleId="10">
    <w:name w:val="toc 3"/>
    <w:basedOn w:val="1"/>
    <w:next w:val="1"/>
    <w:qFormat/>
    <w:uiPriority w:val="0"/>
    <w:pPr>
      <w:ind w:left="840"/>
    </w:pPr>
  </w:style>
  <w:style w:type="paragraph" w:styleId="11">
    <w:name w:val="Plain Text"/>
    <w:basedOn w:val="1"/>
    <w:qFormat/>
    <w:uiPriority w:val="0"/>
    <w:pPr>
      <w:tabs>
        <w:tab w:val="left" w:pos="4004"/>
      </w:tabs>
    </w:pPr>
    <w:rPr>
      <w:rFonts w:ascii="宋体" w:hAnsi="Courier New" w:eastAsia="宋体"/>
      <w:sz w:val="21"/>
      <w:szCs w:val="21"/>
    </w:rPr>
  </w:style>
  <w:style w:type="paragraph" w:styleId="12">
    <w:name w:val="Date"/>
    <w:basedOn w:val="1"/>
    <w:next w:val="1"/>
    <w:qFormat/>
    <w:uiPriority w:val="0"/>
    <w:pPr>
      <w:ind w:left="2500" w:leftChars="2500"/>
    </w:pPr>
    <w:rPr>
      <w:rFonts w:eastAsia="宋体"/>
      <w:sz w:val="28"/>
    </w:rPr>
  </w:style>
  <w:style w:type="paragraph" w:styleId="13">
    <w:name w:val="Body Text Indent 2"/>
    <w:basedOn w:val="1"/>
    <w:qFormat/>
    <w:uiPriority w:val="0"/>
    <w:pPr>
      <w:spacing w:after="120" w:line="480" w:lineRule="auto"/>
      <w:ind w:left="200" w:leftChars="200"/>
    </w:pPr>
  </w:style>
  <w:style w:type="paragraph" w:styleId="14">
    <w:name w:val="Balloon Text"/>
    <w:basedOn w:val="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style>
  <w:style w:type="paragraph" w:styleId="18">
    <w:name w:val="toc 4"/>
    <w:basedOn w:val="1"/>
    <w:next w:val="1"/>
    <w:qFormat/>
    <w:uiPriority w:val="0"/>
    <w:pPr>
      <w:ind w:left="1260"/>
    </w:pPr>
  </w:style>
  <w:style w:type="paragraph" w:styleId="19">
    <w:name w:val="Subtitle"/>
    <w:basedOn w:val="1"/>
    <w:next w:val="1"/>
    <w:qFormat/>
    <w:uiPriority w:val="0"/>
    <w:pPr>
      <w:spacing w:before="240" w:after="60" w:line="360" w:lineRule="auto"/>
      <w:ind w:firstLine="200" w:firstLineChars="200"/>
      <w:jc w:val="left"/>
      <w:outlineLvl w:val="1"/>
    </w:pPr>
    <w:rPr>
      <w:rFonts w:ascii="Cambria" w:hAnsi="Cambria" w:eastAsia="宋体"/>
      <w:b/>
      <w:bCs/>
      <w:kern w:val="28"/>
      <w:sz w:val="28"/>
      <w:szCs w:val="32"/>
    </w:rPr>
  </w:style>
  <w:style w:type="paragraph" w:styleId="20">
    <w:name w:val="toc 2"/>
    <w:basedOn w:val="1"/>
    <w:next w:val="1"/>
    <w:qFormat/>
    <w:uiPriority w:val="0"/>
    <w:pPr>
      <w:ind w:left="420"/>
    </w:pPr>
  </w:style>
  <w:style w:type="paragraph" w:styleId="21">
    <w:name w:val="Body Text 2"/>
    <w:basedOn w:val="1"/>
    <w:qFormat/>
    <w:uiPriority w:val="0"/>
    <w:pPr>
      <w:spacing w:after="120" w:line="480" w:lineRule="auto"/>
    </w:pPr>
    <w:rPr>
      <w:rFonts w:eastAsia="宋体"/>
      <w:sz w:val="21"/>
    </w:rPr>
  </w:style>
  <w:style w:type="paragraph" w:styleId="22">
    <w:name w:val="Body Text First Indent"/>
    <w:basedOn w:val="7"/>
    <w:qFormat/>
    <w:uiPriority w:val="0"/>
    <w:pPr>
      <w:spacing w:after="120"/>
      <w:ind w:firstLine="100" w:firstLineChars="100"/>
    </w:pPr>
  </w:style>
  <w:style w:type="character" w:styleId="25">
    <w:name w:val="page number"/>
    <w:basedOn w:val="24"/>
    <w:qFormat/>
    <w:uiPriority w:val="0"/>
  </w:style>
  <w:style w:type="character" w:styleId="26">
    <w:name w:val="Hyperlink"/>
    <w:qFormat/>
    <w:uiPriority w:val="0"/>
    <w:rPr>
      <w:color w:val="000000"/>
      <w:sz w:val="11"/>
      <w:u w:val="none"/>
    </w:rPr>
  </w:style>
  <w:style w:type="character" w:customStyle="1" w:styleId="27">
    <w:name w:val="标题 1 Char"/>
    <w:link w:val="2"/>
    <w:qFormat/>
    <w:uiPriority w:val="0"/>
    <w:rPr>
      <w:rFonts w:ascii="Times New Roman" w:hAnsi="Times New Roman" w:eastAsia="仿宋_GB2312" w:cs="Times New Roman"/>
      <w:b/>
      <w:bCs/>
      <w:kern w:val="44"/>
      <w:sz w:val="44"/>
      <w:szCs w:val="44"/>
      <w:lang w:val="en-US" w:eastAsia="zh-CN" w:bidi="ar-SA"/>
    </w:rPr>
  </w:style>
  <w:style w:type="character" w:customStyle="1" w:styleId="28">
    <w:name w:val="标题 2 Char"/>
    <w:link w:val="3"/>
    <w:uiPriority w:val="0"/>
    <w:rPr>
      <w:rFonts w:ascii="Times New Roman" w:hAnsi="Times New Roman" w:eastAsia="黑体" w:cs="Times New Roman"/>
      <w:b/>
      <w:bCs/>
      <w:kern w:val="2"/>
      <w:sz w:val="32"/>
      <w:szCs w:val="32"/>
      <w:lang w:val="en-US" w:eastAsia="zh-CN" w:bidi="ar-SA"/>
    </w:rPr>
  </w:style>
  <w:style w:type="character" w:customStyle="1" w:styleId="29">
    <w:name w:val="标题 3 Char"/>
    <w:link w:val="4"/>
    <w:uiPriority w:val="0"/>
    <w:rPr>
      <w:rFonts w:ascii="Times New Roman" w:hAnsi="Times New Roman" w:eastAsia="仿宋_GB2312" w:cs="Times New Roman"/>
      <w:b/>
      <w:bCs/>
      <w:kern w:val="2"/>
      <w:sz w:val="32"/>
      <w:szCs w:val="32"/>
      <w:lang w:val="en-US" w:eastAsia="zh-CN" w:bidi="ar-SA"/>
    </w:rPr>
  </w:style>
  <w:style w:type="paragraph" w:customStyle="1" w:styleId="30">
    <w:name w:val="Char"/>
    <w:basedOn w:val="22"/>
    <w:next w:val="22"/>
    <w:qFormat/>
    <w:uiPriority w:val="0"/>
    <w:pPr>
      <w:tabs>
        <w:tab w:val="left" w:pos="360"/>
        <w:tab w:val="left" w:pos="900"/>
      </w:tabs>
      <w:spacing w:before="120" w:line="360" w:lineRule="auto"/>
      <w:ind w:left="-12" w:leftChars="-12" w:firstLine="200" w:firstLineChars="200"/>
      <w:jc w:val="left"/>
    </w:pPr>
    <w:rPr>
      <w:rFonts w:ascii="Arial" w:hAnsi="Arial" w:eastAsia="宋体"/>
      <w:b/>
    </w:rPr>
  </w:style>
  <w:style w:type="paragraph" w:customStyle="1" w:styleId="31">
    <w:name w:val="默认段落字体 Para Char Char Char Char Char Char Char"/>
    <w:basedOn w:val="6"/>
    <w:qFormat/>
    <w:uiPriority w:val="0"/>
    <w:pPr>
      <w:adjustRightInd w:val="0"/>
      <w:spacing w:line="436" w:lineRule="exact"/>
      <w:ind w:left="357"/>
      <w:jc w:val="left"/>
      <w:outlineLvl w:val="3"/>
    </w:pPr>
    <w:rPr>
      <w:rFonts w:ascii="Tahoma" w:hAnsi="Tahoma" w:eastAsia="宋体"/>
      <w:b/>
      <w:sz w:val="24"/>
    </w:rPr>
  </w:style>
  <w:style w:type="paragraph" w:customStyle="1" w:styleId="32">
    <w:name w:val="00正文"/>
    <w:basedOn w:val="1"/>
    <w:qFormat/>
    <w:uiPriority w:val="0"/>
    <w:pPr>
      <w:spacing w:line="440" w:lineRule="exact"/>
      <w:ind w:firstLine="200" w:firstLineChars="200"/>
    </w:pPr>
    <w:rPr>
      <w:rFonts w:eastAsia="方正仿宋简体"/>
      <w:sz w:val="24"/>
    </w:rPr>
  </w:style>
  <w:style w:type="paragraph" w:customStyle="1" w:styleId="33">
    <w:name w:val="Char Char1 Char Char Char Char Char Char"/>
    <w:basedOn w:val="1"/>
    <w:qFormat/>
    <w:uiPriority w:val="0"/>
    <w:pPr>
      <w:widowControl/>
      <w:spacing w:after="160" w:line="240" w:lineRule="exact"/>
      <w:jc w:val="left"/>
    </w:pPr>
    <w:rPr>
      <w:rFonts w:ascii="Verdana" w:hAnsi="Verdana"/>
      <w:kern w:val="0"/>
      <w:szCs w:val="20"/>
    </w:rPr>
  </w:style>
  <w:style w:type="paragraph" w:customStyle="1" w:styleId="34">
    <w:name w:val="正文A"/>
    <w:qFormat/>
    <w:uiPriority w:val="0"/>
    <w:pPr>
      <w:tabs>
        <w:tab w:val="left" w:pos="0"/>
      </w:tabs>
      <w:adjustRightInd w:val="0"/>
      <w:spacing w:before="120" w:line="360" w:lineRule="auto"/>
      <w:ind w:firstLine="480"/>
      <w:jc w:val="both"/>
    </w:pPr>
    <w:rPr>
      <w:rFonts w:ascii="Times New Roman" w:hAnsi="Times New Roman" w:eastAsia="宋体" w:cs="Times New Roman"/>
      <w:snapToGrid w:val="0"/>
      <w:sz w:val="24"/>
      <w:lang w:val="en-US" w:eastAsia="zh-CN" w:bidi="ar-SA"/>
    </w:rPr>
  </w:style>
  <w:style w:type="paragraph" w:customStyle="1" w:styleId="35">
    <w:name w:val="正文内容"/>
    <w:basedOn w:val="1"/>
    <w:qFormat/>
    <w:uiPriority w:val="0"/>
    <w:pPr>
      <w:spacing w:line="400" w:lineRule="exact"/>
      <w:ind w:firstLine="560"/>
    </w:pPr>
    <w:rPr>
      <w:rFonts w:eastAsia="宋体" w:cs="宋体"/>
      <w:sz w:val="28"/>
      <w:szCs w:val="20"/>
    </w:rPr>
  </w:style>
  <w:style w:type="paragraph" w:customStyle="1" w:styleId="36">
    <w:name w:val="正文缩进首行缩进两字1"/>
    <w:basedOn w:val="1"/>
    <w:next w:val="1"/>
    <w:qFormat/>
    <w:uiPriority w:val="0"/>
    <w:pPr>
      <w:spacing w:line="360" w:lineRule="auto"/>
      <w:ind w:firstLine="200" w:firstLineChars="200"/>
    </w:pPr>
    <w:rPr>
      <w:rFonts w:ascii="宋体" w:hAnsi="宋体" w:eastAsia="宋体"/>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D3BA4361-DE8C-406A-8AC9-56D57BD80F76}">
  <ds:schemaRefs/>
</ds:datastoreItem>
</file>

<file path=docProps/app.xml><?xml version="1.0" encoding="utf-8"?>
<Properties xmlns="http://schemas.openxmlformats.org/officeDocument/2006/extended-properties" xmlns:vt="http://schemas.openxmlformats.org/officeDocument/2006/docPropsVTypes">
  <Template>Normal</Template>
  <Pages>2</Pages>
  <Words>379</Words>
  <Characters>409</Characters>
  <Lines>3</Lines>
  <Paragraphs>1</Paragraphs>
  <TotalTime>2</TotalTime>
  <ScaleCrop>false</ScaleCrop>
  <LinksUpToDate>false</LinksUpToDate>
  <CharactersWithSpaces>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2023-08-31T04:29:00Z</dcterms:created>
  <dc:creator>贾东</dc:creator>
  <cp:lastModifiedBy>Mona</cp:lastModifiedBy>
  <cp:lastPrinted>2019-12-25T02:35:00Z</cp:lastPrinted>
  <dcterms:modified xsi:type="dcterms:W3CDTF">2026-07-03T06:54:13Z</dcterms:modified>
  <dc:title>建[2002]号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73B856C10C0240DD9CD4BA21A4F3F442_13</vt:lpwstr>
  </property>
  <property fmtid="{D5CDD505-2E9C-101B-9397-08002B2CF9AE}" pid="4" name="KSOTemplateDocerSaveRecord">
    <vt:lpwstr>eyJoZGlkIjoiMmZjZDY2MmM0ZGU4OTQ1NDBmOWM3ZTg2ZmJlNGY5ZmMiLCJ1c2VySWQiOiI4ODIzMzI0NzEifQ==</vt:lpwstr>
  </property>
</Properties>
</file>