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241A0">
      <w:pPr>
        <w:pStyle w:val="2"/>
        <w:snapToGrid w:val="0"/>
        <w:rPr>
          <w:rStyle w:val="10"/>
          <w:rFonts w:hint="eastAsia" w:ascii="方正小标宋_GBK" w:hAnsi="方正小标宋_GBK" w:eastAsia="方正小标宋_GBK" w:cs="方正小标宋_GBK"/>
          <w:color w:val="auto"/>
          <w:sz w:val="44"/>
          <w:szCs w:val="44"/>
          <w:u w:val="none"/>
          <w:lang w:eastAsia="zh-CN"/>
        </w:rPr>
      </w:pPr>
      <w:r>
        <w:rPr>
          <w:rFonts w:hint="eastAsia" w:ascii="仿宋_GB2312" w:eastAsia="仿宋_GB2312"/>
          <w:lang w:val="en-US" w:eastAsia="zh-CN"/>
        </w:rPr>
        <w:t xml:space="preserve"> </w:t>
      </w:r>
      <w:bookmarkStart w:id="0" w:name="_GoBack"/>
      <w:bookmarkEnd w:id="0"/>
    </w:p>
    <w:p w14:paraId="09920F22">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天津市人民政府办公厅转发市体育局等四部门关于进一步加强运动员文化教育和运动员</w:t>
      </w:r>
    </w:p>
    <w:p w14:paraId="7857B2CE">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保障工作实施意见的通知</w:t>
      </w:r>
    </w:p>
    <w:p w14:paraId="5F3BA687">
      <w:pPr>
        <w:pStyle w:val="2"/>
        <w:snapToGrid w:val="0"/>
        <w:rPr>
          <w:rFonts w:ascii="仿宋_GB2312" w:hAnsi="仿宋_GB2312" w:eastAsia="仿宋_GB2312" w:cs="仿宋_GB2312"/>
          <w:szCs w:val="32"/>
        </w:rPr>
      </w:pPr>
    </w:p>
    <w:p w14:paraId="1B113CE6">
      <w:pPr>
        <w:pStyle w:val="2"/>
        <w:rPr>
          <w:rFonts w:ascii="仿宋_GB2312" w:eastAsia="仿宋_GB2312"/>
        </w:rPr>
      </w:pPr>
      <w:r>
        <w:rPr>
          <w:rFonts w:hint="eastAsia" w:ascii="仿宋_GB2312" w:eastAsia="仿宋_GB2312"/>
        </w:rPr>
        <w:t>各区人民政府，市政府有关委、办、局：</w:t>
      </w:r>
    </w:p>
    <w:p w14:paraId="43B99A51">
      <w:pPr>
        <w:pStyle w:val="2"/>
        <w:ind w:firstLine="624" w:firstLineChars="200"/>
        <w:rPr>
          <w:rFonts w:eastAsia="仿宋_GB2312"/>
          <w:szCs w:val="32"/>
        </w:rPr>
      </w:pPr>
      <w:r>
        <w:rPr>
          <w:rFonts w:hint="eastAsia" w:eastAsia="仿宋_GB2312"/>
          <w:szCs w:val="32"/>
        </w:rPr>
        <w:t>市体育局、市教委、市财政局、市人社局《关于进一步加强运动员文化教育和运动员保障工作的实施意见》已经市人民政府同意，现转发给你们，请照此执行。</w:t>
      </w:r>
    </w:p>
    <w:p w14:paraId="24CB6DF7">
      <w:pPr>
        <w:pStyle w:val="2"/>
        <w:rPr>
          <w:rFonts w:eastAsia="仿宋_GB2312"/>
          <w:szCs w:val="32"/>
        </w:rPr>
      </w:pPr>
    </w:p>
    <w:p w14:paraId="518DC687">
      <w:pPr>
        <w:pStyle w:val="2"/>
        <w:ind w:firstLine="4680" w:firstLineChars="1500"/>
        <w:rPr>
          <w:rFonts w:eastAsia="仿宋_GB2312"/>
          <w:szCs w:val="32"/>
        </w:rPr>
      </w:pPr>
      <w:r>
        <w:rPr>
          <w:rFonts w:hint="eastAsia" w:ascii="Times New Roman" w:hAnsi="Times New Roman" w:eastAsia="仿宋_GB2312"/>
          <w:szCs w:val="32"/>
          <w:lang w:val="en-US" w:eastAsia="zh-CN"/>
        </w:rPr>
        <w:t>天津市人民政府办公厅</w:t>
      </w:r>
    </w:p>
    <w:p w14:paraId="6808D23E">
      <w:pPr>
        <w:pStyle w:val="2"/>
        <w:wordWrap w:val="0"/>
        <w:spacing w:line="400" w:lineRule="exact"/>
        <w:jc w:val="right"/>
        <w:rPr>
          <w:rFonts w:eastAsia="仿宋_GB2312"/>
          <w:szCs w:val="32"/>
        </w:rPr>
      </w:pPr>
      <w:r>
        <w:rPr>
          <w:rFonts w:hint="eastAsia" w:eastAsia="仿宋_GB2312"/>
          <w:szCs w:val="32"/>
        </w:rPr>
        <w:t>2025年</w:t>
      </w:r>
      <w:r>
        <w:rPr>
          <w:rFonts w:eastAsia="仿宋_GB2312"/>
          <w:szCs w:val="32"/>
        </w:rPr>
        <w:t>12</w:t>
      </w:r>
      <w:r>
        <w:rPr>
          <w:rFonts w:hint="eastAsia" w:eastAsia="仿宋_GB2312"/>
          <w:szCs w:val="32"/>
        </w:rPr>
        <w:t>月</w:t>
      </w:r>
      <w:r>
        <w:rPr>
          <w:rFonts w:eastAsia="仿宋_GB2312"/>
          <w:szCs w:val="32"/>
        </w:rPr>
        <w:t>26</w:t>
      </w:r>
      <w:r>
        <w:rPr>
          <w:rFonts w:hint="eastAsia" w:eastAsia="仿宋_GB2312"/>
          <w:szCs w:val="32"/>
        </w:rPr>
        <w:t xml:space="preserve">日        </w:t>
      </w:r>
    </w:p>
    <w:p w14:paraId="0FE914CF">
      <w:pPr>
        <w:pStyle w:val="2"/>
        <w:spacing w:line="400" w:lineRule="exact"/>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14:paraId="16BE6AD2">
      <w:pPr>
        <w:pStyle w:val="2"/>
        <w:snapToGrid w:val="0"/>
        <w:jc w:val="center"/>
        <w:rPr>
          <w:rStyle w:val="10"/>
          <w:rFonts w:hint="eastAsia" w:ascii="方正小标宋简体" w:hAnsi="方正小标宋_GBK" w:eastAsia="方正小标宋简体" w:cs="方正小标宋_GBK"/>
          <w:color w:val="auto"/>
          <w:sz w:val="44"/>
          <w:szCs w:val="44"/>
          <w:u w:val="none"/>
        </w:rPr>
      </w:pPr>
      <w:r>
        <w:rPr>
          <w:rStyle w:val="10"/>
          <w:rFonts w:hint="eastAsia" w:ascii="方正小标宋简体" w:hAnsi="方正小标宋_GBK" w:eastAsia="方正小标宋简体" w:cs="方正小标宋_GBK"/>
          <w:color w:val="auto"/>
          <w:sz w:val="44"/>
          <w:szCs w:val="44"/>
          <w:u w:val="none"/>
        </w:rPr>
        <w:t>关于进一步加强运动员文化教育和</w:t>
      </w:r>
    </w:p>
    <w:p w14:paraId="5B88DA00">
      <w:pPr>
        <w:pStyle w:val="2"/>
        <w:snapToGrid w:val="0"/>
        <w:jc w:val="center"/>
        <w:rPr>
          <w:rFonts w:ascii="方正小标宋_GBK" w:hAnsi="方正小标宋_GBK" w:eastAsia="方正小标宋_GBK" w:cs="方正小标宋_GBK"/>
          <w:sz w:val="44"/>
          <w:szCs w:val="44"/>
        </w:rPr>
      </w:pPr>
      <w:r>
        <w:rPr>
          <w:rStyle w:val="10"/>
          <w:rFonts w:hint="eastAsia" w:ascii="方正小标宋简体" w:hAnsi="方正小标宋_GBK" w:eastAsia="方正小标宋简体" w:cs="方正小标宋_GBK"/>
          <w:color w:val="auto"/>
          <w:sz w:val="44"/>
          <w:szCs w:val="44"/>
          <w:u w:val="none"/>
        </w:rPr>
        <w:t>运动员保障工作的实施意见</w:t>
      </w:r>
    </w:p>
    <w:p w14:paraId="23E94A87">
      <w:pPr>
        <w:pStyle w:val="2"/>
        <w:jc w:val="center"/>
        <w:rPr>
          <w:rFonts w:ascii="楷体_GB2312" w:hAnsi="楷体_GB2312" w:eastAsia="楷体_GB2312" w:cs="楷体_GB2312"/>
          <w:szCs w:val="32"/>
        </w:rPr>
      </w:pPr>
      <w:r>
        <w:rPr>
          <w:rFonts w:hint="eastAsia" w:ascii="楷体_GB2312" w:hAnsi="楷体_GB2312" w:eastAsia="楷体_GB2312" w:cs="楷体_GB2312"/>
          <w:szCs w:val="32"/>
        </w:rPr>
        <w:t>市体育局  市教委  市财政局  市人社局</w:t>
      </w:r>
    </w:p>
    <w:p w14:paraId="54698A60">
      <w:pPr>
        <w:pStyle w:val="2"/>
        <w:snapToGrid w:val="0"/>
        <w:ind w:firstLine="624" w:firstLineChars="200"/>
        <w:rPr>
          <w:rFonts w:eastAsia="仿宋_GB2312"/>
          <w:szCs w:val="32"/>
        </w:rPr>
      </w:pPr>
    </w:p>
    <w:p w14:paraId="6FC25207">
      <w:pPr>
        <w:pStyle w:val="2"/>
        <w:ind w:firstLine="624" w:firstLineChars="200"/>
        <w:rPr>
          <w:rFonts w:eastAsia="仿宋_GB2312"/>
          <w:szCs w:val="32"/>
        </w:rPr>
      </w:pPr>
      <w:r>
        <w:rPr>
          <w:rFonts w:hint="eastAsia" w:eastAsia="仿宋_GB2312"/>
          <w:szCs w:val="32"/>
        </w:rPr>
        <w:t>为深入贯彻落实习近平总书记关于体育的重要论述和视察天津重要讲话精神，推动本市竞技体育高质量发展，加强竞技体育后备人才队伍建设，保护运动员身心健康，解决运动员后顾之忧，促进运动员全面发展，根据国务院关于加强运动员文化教育和运动员保障工作有关要求，结合本市实际，提出以下实施意见。</w:t>
      </w:r>
    </w:p>
    <w:p w14:paraId="1F733356">
      <w:pPr>
        <w:pStyle w:val="2"/>
        <w:ind w:firstLine="624" w:firstLineChars="200"/>
        <w:rPr>
          <w:rFonts w:ascii="黑体" w:hAnsi="黑体" w:eastAsia="黑体" w:cs="黑体"/>
          <w:szCs w:val="32"/>
        </w:rPr>
      </w:pPr>
      <w:r>
        <w:rPr>
          <w:rFonts w:hint="eastAsia" w:ascii="黑体" w:hAnsi="黑体" w:eastAsia="黑体" w:cs="黑体"/>
          <w:szCs w:val="32"/>
        </w:rPr>
        <w:t>一、打牢运动员文化教育基础</w:t>
      </w:r>
    </w:p>
    <w:p w14:paraId="6148D18A">
      <w:pPr>
        <w:pStyle w:val="2"/>
        <w:ind w:firstLine="624" w:firstLineChars="200"/>
        <w:rPr>
          <w:rFonts w:eastAsia="仿宋_GB2312"/>
          <w:szCs w:val="32"/>
        </w:rPr>
      </w:pPr>
      <w:r>
        <w:rPr>
          <w:rFonts w:hint="eastAsia" w:ascii="楷体_GB2312" w:hAnsi="楷体_GB2312" w:eastAsia="楷体_GB2312" w:cs="楷体_GB2312"/>
          <w:szCs w:val="32"/>
        </w:rPr>
        <w:t>（一）抓实竞技体育后备人才基础教育。</w:t>
      </w:r>
      <w:r>
        <w:rPr>
          <w:rFonts w:hint="eastAsia" w:eastAsia="仿宋_GB2312"/>
          <w:szCs w:val="32"/>
        </w:rPr>
        <w:t>健全运动员文化教育机制，推进德智体美劳融合培养，全面提升体育人才综合素质，促进运动员竞技水平与文化素养双提升。按照体育总局制定的全国青少年教学训练大纲要求，结合青少年身心成长规律和不同项目运动员成才规律，建立科学规范的竞技体育后备人才训练系统，坚持科学选材和系统训练，合理安排训练量和强度。进一步完善以中小学为主体的竞技体育后备人才业余训练和文化教育体系，对于处于九年义务教育阶段的运动员，采取在中小学学习文化课、业余时间到体校集中训练的培养方式，实现文化教育与竞技体育训练有机结合。充分保障文化教育时间，确保所有适龄运动员完成九年义务教育并达到国家规定的基本质量要求，为运动员后续学习奠定良好基础。进一步改革完善青少年竞赛体系，青少年比赛时间尽量安排在假期，并就近参赛。（责任单位：市体育局、市教委）</w:t>
      </w:r>
    </w:p>
    <w:p w14:paraId="0B06E35F">
      <w:pPr>
        <w:pStyle w:val="2"/>
        <w:ind w:firstLine="624" w:firstLineChars="200"/>
        <w:rPr>
          <w:rFonts w:eastAsia="仿宋_GB2312"/>
          <w:szCs w:val="32"/>
        </w:rPr>
      </w:pPr>
      <w:r>
        <w:rPr>
          <w:rFonts w:hint="eastAsia" w:ascii="楷体_GB2312" w:hAnsi="楷体_GB2312" w:eastAsia="楷体_GB2312" w:cs="楷体_GB2312"/>
          <w:szCs w:val="32"/>
        </w:rPr>
        <w:t>（二）提升体育运动学校文化教育质量。</w:t>
      </w:r>
      <w:r>
        <w:rPr>
          <w:rFonts w:hint="eastAsia" w:eastAsia="仿宋_GB2312"/>
          <w:szCs w:val="32"/>
        </w:rPr>
        <w:t>落实体育运动学校文化教育准入标准和管理、考核办法，建立完善相关制度，推动文化教育和训练竞赛相互促进、协调发展。体育运动学校学生的学习、训练、比赛时间严格按照国家体育总局相关文件规定执行。鼓励体育运动学校采取与优质中小学互挂牌子、互派教师等共建、联办方式，吸纳优质文化教育资源，强化文化课教师队伍建设。体育运动学校按照本市招生入学政策开展招生工作，学生入学后按照本市学籍管理规定完成学籍转接。深化体教融合，对于承担市、区两级青少年训练任务的普通中小学运动员、教练员在培训、职称评定方面，享受与同级体育运动学校的运动员、教练员同等待遇。加强市、区两级公办体育运动学校建设，不断改善办学条件。（责任单位：市体育局、市教委）</w:t>
      </w:r>
    </w:p>
    <w:p w14:paraId="616782B1">
      <w:pPr>
        <w:pStyle w:val="2"/>
        <w:ind w:firstLine="624" w:firstLineChars="200"/>
        <w:rPr>
          <w:rFonts w:eastAsia="仿宋_GB2312"/>
          <w:szCs w:val="32"/>
        </w:rPr>
      </w:pPr>
      <w:r>
        <w:rPr>
          <w:rFonts w:hint="eastAsia" w:ascii="楷体_GB2312" w:hAnsi="楷体_GB2312" w:eastAsia="楷体_GB2312" w:cs="楷体_GB2312"/>
          <w:szCs w:val="32"/>
        </w:rPr>
        <w:t>（三）加强运动队文化教育工作。</w:t>
      </w:r>
      <w:r>
        <w:rPr>
          <w:rFonts w:hint="eastAsia" w:eastAsia="仿宋_GB2312"/>
          <w:szCs w:val="32"/>
        </w:rPr>
        <w:t>指导推动本市各类运动队的训练管理部门采取多种灵活方式，为运动员在训期间完成学历教育、提高文化素质提供保障。运动员所在单位要高度重视运动员文化教育工作，科学合理安排运动员学习时间。（责任单位：市体育局）</w:t>
      </w:r>
    </w:p>
    <w:p w14:paraId="0F09DFFD">
      <w:pPr>
        <w:pStyle w:val="2"/>
        <w:ind w:firstLine="624" w:firstLineChars="200"/>
        <w:rPr>
          <w:rFonts w:ascii="黑体" w:hAnsi="黑体" w:eastAsia="黑体" w:cs="黑体"/>
          <w:szCs w:val="32"/>
        </w:rPr>
      </w:pPr>
      <w:r>
        <w:rPr>
          <w:rFonts w:hint="eastAsia" w:ascii="黑体" w:hAnsi="黑体" w:eastAsia="黑体" w:cs="黑体"/>
          <w:szCs w:val="32"/>
        </w:rPr>
        <w:t>二、拓宽运动员培养输送渠道</w:t>
      </w:r>
    </w:p>
    <w:p w14:paraId="7C99B194">
      <w:pPr>
        <w:pStyle w:val="2"/>
        <w:ind w:firstLine="624" w:firstLineChars="200"/>
        <w:rPr>
          <w:rFonts w:eastAsia="仿宋_GB2312"/>
          <w:szCs w:val="32"/>
        </w:rPr>
      </w:pPr>
      <w:r>
        <w:rPr>
          <w:rFonts w:hint="eastAsia" w:ascii="楷体_GB2312" w:hAnsi="楷体_GB2312" w:eastAsia="楷体_GB2312" w:cs="楷体_GB2312"/>
          <w:szCs w:val="32"/>
        </w:rPr>
        <w:t>（四）支持运动员接受高等教育。</w:t>
      </w:r>
      <w:r>
        <w:rPr>
          <w:rFonts w:hint="eastAsia" w:eastAsia="仿宋_GB2312"/>
          <w:szCs w:val="32"/>
        </w:rPr>
        <w:t>鼓励在役运动员通过远程教育等多种方式灵活接受高等教育，提升学历层次和综合素质。推动天津体育学院、天津体育职业学院等高等学校与运动队紧密配合，建立运动员就学管理模式，开发和设置适合体育人才的专业和课程，切实提高运动员高等教育质量。支持高等学校招收高水平运动员，不断增加天津体育学院、天津体育职业学院等高等学校面向优秀体育人才的特招数量及特招项目。鼓励体育运动学校在执行国家现行招生政策基础上，结合本市竞技体育项目布局，与天津体育学院等高等学校探索建立“3</w:t>
      </w:r>
      <w:r>
        <w:rPr>
          <w:rFonts w:hint="eastAsia" w:ascii="仿宋_GB2312" w:hAnsi="仿宋_GB2312" w:eastAsia="仿宋_GB2312" w:cs="仿宋_GB2312"/>
          <w:szCs w:val="32"/>
        </w:rPr>
        <w:t>+</w:t>
      </w:r>
      <w:r>
        <w:rPr>
          <w:rFonts w:hint="eastAsia" w:eastAsia="仿宋_GB2312"/>
          <w:szCs w:val="32"/>
        </w:rPr>
        <w:t>4”（体育运动学校3年学制和高等学校本科4年学制）人才贯通培养模式，开展中高职一体化人才培养。（责任单位：市体育局、市教委）</w:t>
      </w:r>
    </w:p>
    <w:p w14:paraId="24DE24DB">
      <w:pPr>
        <w:pStyle w:val="2"/>
        <w:ind w:firstLine="624" w:firstLineChars="200"/>
        <w:rPr>
          <w:rFonts w:eastAsia="仿宋_GB2312"/>
          <w:szCs w:val="32"/>
        </w:rPr>
      </w:pPr>
      <w:r>
        <w:rPr>
          <w:rFonts w:hint="eastAsia" w:ascii="楷体_GB2312" w:hAnsi="楷体_GB2312" w:eastAsia="楷体_GB2312" w:cs="楷体_GB2312"/>
          <w:szCs w:val="32"/>
        </w:rPr>
        <w:t>（五）发展高等体育职业技术教育。</w:t>
      </w:r>
      <w:r>
        <w:rPr>
          <w:rFonts w:hint="eastAsia" w:eastAsia="仿宋_GB2312"/>
          <w:szCs w:val="32"/>
        </w:rPr>
        <w:t>推动体育职业教育和竞技体育人才培养深度融合，培养具有体育专业基本理论知识和技能的应用型人才，满足竞技体育、群众体育、体育产业等多领域多元化人才需求。根据社会需要和体育事业发展要求，动态调整优化天津体育职业学院专业结构，精准培养体育专业技能人才，重点培养运动队短缺且急需的高技能人才。（责任单位：市体育局、市教委）</w:t>
      </w:r>
    </w:p>
    <w:p w14:paraId="1A402047">
      <w:pPr>
        <w:pStyle w:val="2"/>
        <w:ind w:firstLine="624" w:firstLineChars="200"/>
        <w:rPr>
          <w:rFonts w:ascii="黑体" w:hAnsi="黑体" w:eastAsia="黑体" w:cs="黑体"/>
          <w:szCs w:val="32"/>
        </w:rPr>
      </w:pPr>
      <w:r>
        <w:rPr>
          <w:rFonts w:hint="eastAsia" w:ascii="黑体" w:hAnsi="黑体" w:eastAsia="黑体" w:cs="黑体"/>
          <w:szCs w:val="32"/>
        </w:rPr>
        <w:t>三、严格落实运动员保障政策</w:t>
      </w:r>
    </w:p>
    <w:p w14:paraId="5662C88A">
      <w:pPr>
        <w:pStyle w:val="2"/>
        <w:ind w:firstLine="624" w:firstLineChars="200"/>
        <w:rPr>
          <w:rFonts w:eastAsia="仿宋_GB2312"/>
          <w:szCs w:val="32"/>
        </w:rPr>
      </w:pPr>
      <w:r>
        <w:rPr>
          <w:rFonts w:hint="eastAsia" w:ascii="楷体_GB2312" w:hAnsi="楷体_GB2312" w:eastAsia="楷体_GB2312" w:cs="楷体_GB2312"/>
          <w:szCs w:val="32"/>
        </w:rPr>
        <w:t>（六）保障社会保险待遇。</w:t>
      </w:r>
      <w:r>
        <w:rPr>
          <w:rFonts w:hint="eastAsia" w:eastAsia="仿宋_GB2312"/>
          <w:szCs w:val="32"/>
        </w:rPr>
        <w:t>运动员所在单位应及时按照有关规定为运动员办理社会保险，并做好运动员退役后的社会保险关系转移接续工作，确保运动员依法享受相应的社会保险待遇。参加工伤保险的运动员因训练、比赛等工作原因发生事故伤害或患职业病的，其工伤认定、劳动能力鉴定、工伤保险待遇按照《工伤保险条例》、《天津市工伤保险若干规定》等有关规定执行。（责任单位：市体育局、市人社局）</w:t>
      </w:r>
    </w:p>
    <w:p w14:paraId="1B36870B">
      <w:pPr>
        <w:pStyle w:val="2"/>
        <w:ind w:firstLine="624" w:firstLineChars="200"/>
        <w:rPr>
          <w:rFonts w:eastAsia="仿宋_GB2312"/>
          <w:szCs w:val="32"/>
        </w:rPr>
      </w:pPr>
      <w:r>
        <w:rPr>
          <w:rFonts w:hint="eastAsia" w:ascii="楷体_GB2312" w:hAnsi="楷体_GB2312" w:eastAsia="楷体_GB2312" w:cs="楷体_GB2312"/>
          <w:szCs w:val="32"/>
        </w:rPr>
        <w:t>（七）深化多层次社会保障。</w:t>
      </w:r>
      <w:r>
        <w:rPr>
          <w:rFonts w:hint="eastAsia" w:eastAsia="仿宋_GB2312"/>
          <w:szCs w:val="32"/>
        </w:rPr>
        <w:t>严格落实国家体育总局关于运动员保障专项资金实施细则规定，帮助符合条件的运动员按程序申请运动员重大伤残医疗补助金、运动员特殊困难生活补助金、运动员教育资助金。支持优秀运动员参加伤残互助保险，指导其在训练、比赛过程中发生伤残事故时，按照国家体育总局有关规定申请经济帮助。（责任单位：市体育局）</w:t>
      </w:r>
    </w:p>
    <w:p w14:paraId="7D327AFF">
      <w:pPr>
        <w:pStyle w:val="2"/>
        <w:ind w:firstLine="624" w:firstLineChars="200"/>
        <w:rPr>
          <w:rFonts w:eastAsia="仿宋_GB2312"/>
          <w:szCs w:val="32"/>
        </w:rPr>
      </w:pPr>
      <w:r>
        <w:rPr>
          <w:rFonts w:hint="eastAsia" w:ascii="楷体_GB2312" w:hAnsi="楷体_GB2312" w:eastAsia="楷体_GB2312" w:cs="楷体_GB2312"/>
          <w:szCs w:val="32"/>
        </w:rPr>
        <w:t>（八）规范发放退役补偿。</w:t>
      </w:r>
      <w:r>
        <w:rPr>
          <w:rFonts w:hint="eastAsia" w:eastAsia="仿宋_GB2312"/>
          <w:szCs w:val="32"/>
        </w:rPr>
        <w:t>退役运动员按照自主择业方式退役的，发给一次性经济补偿费（包含基础安置费、运龄补偿费、成绩奖励三部分）和创业就业资助金，不再给予退役费。凡经组织安置实现就业的退役运动员按规定领取退役费，不再享受自主择业政策待遇。根据国家体育总局和本市有关规定，运动员免试进入或考入全日制高等学校学习，与所属单位解除聘用关系后，享受自主择业政策待遇。（责任单位：市体育局、市财政局）</w:t>
      </w:r>
    </w:p>
    <w:p w14:paraId="14055230">
      <w:pPr>
        <w:pStyle w:val="2"/>
        <w:ind w:firstLine="624" w:firstLineChars="200"/>
        <w:rPr>
          <w:rFonts w:ascii="黑体" w:hAnsi="黑体" w:eastAsia="黑体" w:cs="黑体"/>
          <w:szCs w:val="32"/>
        </w:rPr>
      </w:pPr>
      <w:r>
        <w:rPr>
          <w:rFonts w:hint="eastAsia" w:ascii="黑体" w:hAnsi="黑体" w:eastAsia="黑体" w:cs="黑体"/>
          <w:szCs w:val="32"/>
        </w:rPr>
        <w:t>四、畅通退役运动员就业通道</w:t>
      </w:r>
    </w:p>
    <w:p w14:paraId="0ECCA523">
      <w:pPr>
        <w:pStyle w:val="2"/>
        <w:ind w:firstLine="624" w:firstLineChars="200"/>
        <w:rPr>
          <w:rFonts w:eastAsia="仿宋_GB2312"/>
          <w:szCs w:val="32"/>
        </w:rPr>
      </w:pPr>
      <w:r>
        <w:rPr>
          <w:rFonts w:hint="eastAsia" w:ascii="楷体_GB2312" w:hAnsi="楷体_GB2312" w:eastAsia="楷体_GB2312" w:cs="楷体_GB2312"/>
          <w:szCs w:val="32"/>
        </w:rPr>
        <w:t>（九）加强运动员职业转换过渡期内培训。</w:t>
      </w:r>
      <w:r>
        <w:rPr>
          <w:rFonts w:hint="eastAsia" w:eastAsia="仿宋_GB2312"/>
          <w:szCs w:val="32"/>
        </w:rPr>
        <w:t>运动员经批准停止专项训练进入职业转换过渡期后，不再参加各类专项比赛，集中精力完成好文化补习、技能培训和各项就业准备工作。鼓励运动员参加职业技能培训，提升技能水平，支持引导与体育相关的行业为退役运动员提供就业实习岗位，遴选符合条件的用人单位建设退役运动员就业实训中心。（责任单位：市体育局、市人社局、市教委）</w:t>
      </w:r>
    </w:p>
    <w:p w14:paraId="1EDB326D">
      <w:pPr>
        <w:pStyle w:val="2"/>
        <w:ind w:firstLine="624" w:firstLineChars="200"/>
        <w:rPr>
          <w:rFonts w:eastAsia="仿宋_GB2312"/>
          <w:szCs w:val="32"/>
        </w:rPr>
      </w:pPr>
      <w:r>
        <w:rPr>
          <w:rFonts w:hint="eastAsia" w:ascii="楷体_GB2312" w:hAnsi="楷体_GB2312" w:eastAsia="楷体_GB2312" w:cs="楷体_GB2312"/>
          <w:szCs w:val="32"/>
        </w:rPr>
        <w:t>（十）支持退役运动员从事体育教师或教练员工作。</w:t>
      </w:r>
      <w:r>
        <w:rPr>
          <w:rFonts w:hint="eastAsia" w:eastAsia="仿宋_GB2312"/>
          <w:szCs w:val="32"/>
        </w:rPr>
        <w:t>积极为退役后有意愿从事体育教师或教练员工作的运动员获取教师或教练员资格提供支持。加强与相关高等学校、实训中心等单位合作，组织开展有针对性的进修学习和培训，帮助退役运动员提升业务技能。针对体育教师岗位特点，结合退役运动员自身具备的体育专业技能，开展相应的教育培训，确保其具备担任体育教师的素质和能力。（责任单位：市体育局、市教委）</w:t>
      </w:r>
    </w:p>
    <w:p w14:paraId="1AC9B65E">
      <w:pPr>
        <w:pStyle w:val="2"/>
        <w:ind w:firstLine="624" w:firstLineChars="200"/>
        <w:rPr>
          <w:rFonts w:eastAsia="仿宋_GB2312"/>
          <w:szCs w:val="32"/>
        </w:rPr>
      </w:pPr>
      <w:r>
        <w:rPr>
          <w:rFonts w:hint="eastAsia" w:ascii="楷体_GB2312" w:hAnsi="楷体_GB2312" w:eastAsia="楷体_GB2312" w:cs="楷体_GB2312"/>
          <w:szCs w:val="32"/>
        </w:rPr>
        <w:t>（十一）鼓励退役运动员自主就业创业。</w:t>
      </w:r>
      <w:r>
        <w:rPr>
          <w:rFonts w:hint="eastAsia" w:eastAsia="仿宋_GB2312"/>
          <w:szCs w:val="32"/>
        </w:rPr>
        <w:t>退役运动员申请创业担保贷款创办体育企业，符合有关条件的按规定给予相关政策支持。退役运动员就业创业，符合《退役运动员就业创业扶持基金使用暂行办法》规定的，按程序为其申请就业创业培训、实训、创业孵化、创业扶持及就业促进等相关资助。支持帮助退役后未实现就业的运动员，到公共就业服务机构享受免费职业介绍、职业指导等服务。（责任单位：市体育局、市人社局）</w:t>
      </w:r>
    </w:p>
    <w:p w14:paraId="4CEFE238">
      <w:pPr>
        <w:pStyle w:val="2"/>
        <w:ind w:firstLine="624" w:firstLineChars="200"/>
        <w:rPr>
          <w:rFonts w:ascii="黑体" w:hAnsi="黑体" w:eastAsia="黑体" w:cs="黑体"/>
          <w:szCs w:val="32"/>
        </w:rPr>
      </w:pPr>
      <w:r>
        <w:rPr>
          <w:rFonts w:hint="eastAsia" w:ascii="黑体" w:hAnsi="黑体" w:eastAsia="黑体" w:cs="黑体"/>
          <w:szCs w:val="32"/>
        </w:rPr>
        <w:t>五、强化退役运动员就业保障</w:t>
      </w:r>
    </w:p>
    <w:p w14:paraId="1C665D6F">
      <w:pPr>
        <w:pStyle w:val="2"/>
        <w:ind w:firstLine="624" w:firstLineChars="200"/>
        <w:rPr>
          <w:rFonts w:eastAsia="仿宋_GB2312"/>
          <w:szCs w:val="32"/>
        </w:rPr>
      </w:pPr>
      <w:r>
        <w:rPr>
          <w:rFonts w:hint="eastAsia" w:ascii="楷体_GB2312" w:hAnsi="楷体_GB2312" w:eastAsia="楷体_GB2312" w:cs="楷体_GB2312"/>
          <w:szCs w:val="32"/>
        </w:rPr>
        <w:t>（十二）强化协调配合。</w:t>
      </w:r>
      <w:r>
        <w:rPr>
          <w:rFonts w:hint="eastAsia" w:eastAsia="仿宋_GB2312"/>
          <w:szCs w:val="32"/>
        </w:rPr>
        <w:t>本市各级体育和教育部门要高度重视并加强运动员文化教育和保障工作，建立完善竞技体育后备人才管理体制和运行机制。市体育局会同市人社局、市教委等部门要积极做好运动员在职业转换过渡期内的综合培训、专项培训、职业技能培训、创业培训及各类职业教育工作，不断提高运动员的职业发展能力。持续加大宣传力度，引导社会各界支持和参与退役运动员就业发展，营造全社会共同关心关爱运动员的良好氛围。（责任单位：市体育局、市人社局、市教委）</w:t>
      </w:r>
    </w:p>
    <w:p w14:paraId="415C460B">
      <w:pPr>
        <w:pStyle w:val="2"/>
        <w:ind w:firstLine="624" w:firstLineChars="200"/>
        <w:rPr>
          <w:rFonts w:eastAsia="仿宋_GB2312"/>
          <w:szCs w:val="32"/>
        </w:rPr>
      </w:pPr>
      <w:r>
        <w:rPr>
          <w:rFonts w:hint="eastAsia" w:ascii="楷体_GB2312" w:hAnsi="楷体_GB2312" w:eastAsia="楷体_GB2312" w:cs="楷体_GB2312"/>
          <w:szCs w:val="32"/>
        </w:rPr>
        <w:t>（十三）完善经费保障。</w:t>
      </w:r>
      <w:r>
        <w:rPr>
          <w:rFonts w:hint="eastAsia" w:eastAsia="仿宋_GB2312"/>
          <w:szCs w:val="32"/>
        </w:rPr>
        <w:t>市体育局要会同市有关部门统筹相关资源，切实做好退役运动员的就业安置工作。在职业转换过渡期内，为退役运动员开展技能培训、就业辅导等相关工作所需经费以财政支持为主，不足部分由市体育局统筹解决。（责任单位：市体育局、市财政局）</w:t>
      </w:r>
    </w:p>
    <w:p w14:paraId="75BAEEE0">
      <w:pPr>
        <w:pStyle w:val="2"/>
        <w:ind w:firstLine="624" w:firstLineChars="200"/>
        <w:rPr>
          <w:rFonts w:eastAsia="仿宋_GB2312"/>
          <w:szCs w:val="32"/>
        </w:rPr>
      </w:pPr>
      <w:r>
        <w:rPr>
          <w:rFonts w:hint="eastAsia" w:eastAsia="仿宋_GB2312"/>
          <w:szCs w:val="32"/>
        </w:rPr>
        <w:t>本意见自印发之日起施行。天津市人民政府办公厅《转发市体育局市教委市财政局市人力社保局关于进一步加强我市运动员文化教育和运动员保障工作实施意见的通知》（津政办发〔2011〕82号）同时废止。</w:t>
      </w:r>
    </w:p>
    <w:p w14:paraId="47984D96">
      <w:pPr>
        <w:pStyle w:val="2"/>
        <w:rPr>
          <w:rFonts w:eastAsia="仿宋_GB2312"/>
          <w:szCs w:val="32"/>
        </w:rPr>
      </w:pPr>
    </w:p>
    <w:p w14:paraId="52F98220">
      <w:pPr>
        <w:pStyle w:val="2"/>
        <w:ind w:left="914" w:hanging="917" w:hangingChars="294"/>
        <w:rPr>
          <w:rFonts w:eastAsia="仿宋_GB2312"/>
          <w:szCs w:val="32"/>
        </w:rPr>
      </w:pPr>
    </w:p>
    <w:p w14:paraId="43246C0F">
      <w:pPr>
        <w:pStyle w:val="2"/>
        <w:ind w:left="914" w:hanging="917" w:hangingChars="294"/>
        <w:rPr>
          <w:rFonts w:eastAsia="仿宋_GB2312"/>
          <w:szCs w:val="32"/>
        </w:rPr>
      </w:pPr>
    </w:p>
    <w:p w14:paraId="0B5D58C8">
      <w:pPr>
        <w:pStyle w:val="2"/>
        <w:ind w:left="914" w:hanging="917" w:hangingChars="294"/>
        <w:rPr>
          <w:rFonts w:eastAsia="仿宋_GB2312"/>
          <w:szCs w:val="32"/>
        </w:rPr>
      </w:pPr>
    </w:p>
    <w:p w14:paraId="14F1936D">
      <w:pPr>
        <w:pStyle w:val="2"/>
        <w:ind w:left="914" w:hanging="917" w:hangingChars="294"/>
        <w:rPr>
          <w:rFonts w:eastAsia="仿宋_GB2312"/>
          <w:szCs w:val="32"/>
        </w:rPr>
      </w:pPr>
    </w:p>
    <w:p w14:paraId="52042636">
      <w:pPr>
        <w:pStyle w:val="2"/>
        <w:ind w:left="914" w:hanging="917" w:hangingChars="294"/>
        <w:rPr>
          <w:rFonts w:eastAsia="仿宋_GB2312"/>
          <w:szCs w:val="32"/>
        </w:rPr>
      </w:pPr>
    </w:p>
    <w:p w14:paraId="70C4AB12">
      <w:pPr>
        <w:pStyle w:val="2"/>
        <w:ind w:left="914" w:hanging="917" w:hangingChars="294"/>
        <w:rPr>
          <w:rFonts w:eastAsia="仿宋_GB2312"/>
          <w:szCs w:val="32"/>
        </w:rPr>
      </w:pPr>
    </w:p>
    <w:p w14:paraId="5BE3B25D">
      <w:pPr>
        <w:pStyle w:val="2"/>
        <w:ind w:left="914" w:hanging="917" w:hangingChars="294"/>
        <w:rPr>
          <w:rFonts w:eastAsia="仿宋_GB2312"/>
          <w:szCs w:val="32"/>
        </w:rPr>
      </w:pPr>
    </w:p>
    <w:p w14:paraId="6B2B7236">
      <w:pPr>
        <w:pStyle w:val="2"/>
        <w:ind w:left="914" w:hanging="917" w:hangingChars="294"/>
        <w:rPr>
          <w:rFonts w:eastAsia="仿宋_GB2312"/>
          <w:szCs w:val="32"/>
        </w:rPr>
      </w:pPr>
    </w:p>
    <w:p w14:paraId="0B105E01">
      <w:pPr>
        <w:pStyle w:val="2"/>
        <w:rPr>
          <w:rFonts w:eastAsia="仿宋_GB2312"/>
          <w:szCs w:val="32"/>
        </w:rPr>
      </w:pPr>
    </w:p>
    <w:p w14:paraId="57E66146">
      <w:pPr>
        <w:pStyle w:val="2"/>
        <w:ind w:left="914" w:hanging="917" w:hangingChars="294"/>
        <w:rPr>
          <w:rFonts w:eastAsia="仿宋_GB2312"/>
          <w:szCs w:val="32"/>
        </w:rPr>
      </w:pP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C9A19">
    <w:pPr>
      <w:pStyle w:val="5"/>
      <w:framePr w:wrap="around" w:vAnchor="text" w:hAnchor="margin" w:xAlign="outside" w:y="1"/>
      <w:ind w:left="420" w:leftChars="200" w:right="420" w:rightChars="200"/>
      <w:jc w:val="center"/>
      <w:rPr>
        <w:rStyle w:val="9"/>
        <w:sz w:val="28"/>
      </w:rPr>
    </w:pPr>
    <w:r>
      <w:rPr>
        <w:rStyle w:val="9"/>
        <w:rFonts w:hint="eastAsia"/>
        <w:sz w:val="28"/>
      </w:rPr>
      <w:t>—</w:t>
    </w:r>
    <w:r>
      <w:rPr>
        <w:rStyle w:val="9"/>
        <w:sz w:val="28"/>
      </w:rPr>
      <w:t xml:space="preserve"> </w:t>
    </w:r>
    <w:r>
      <w:rPr>
        <w:rStyle w:val="9"/>
        <w:sz w:val="28"/>
      </w:rPr>
      <w:fldChar w:fldCharType="begin"/>
    </w:r>
    <w:r>
      <w:rPr>
        <w:rStyle w:val="9"/>
        <w:sz w:val="28"/>
      </w:rPr>
      <w:instrText xml:space="preserve">PAGE  </w:instrText>
    </w:r>
    <w:r>
      <w:rPr>
        <w:rStyle w:val="9"/>
        <w:sz w:val="28"/>
      </w:rPr>
      <w:fldChar w:fldCharType="separate"/>
    </w:r>
    <w:r>
      <w:rPr>
        <w:rStyle w:val="9"/>
        <w:sz w:val="28"/>
      </w:rPr>
      <w:t>8</w:t>
    </w:r>
    <w:r>
      <w:rPr>
        <w:rStyle w:val="9"/>
        <w:sz w:val="28"/>
      </w:rPr>
      <w:fldChar w:fldCharType="end"/>
    </w:r>
    <w:r>
      <w:rPr>
        <w:rStyle w:val="9"/>
        <w:sz w:val="28"/>
      </w:rPr>
      <w:t xml:space="preserve"> </w:t>
    </w:r>
    <w:r>
      <w:rPr>
        <w:rStyle w:val="9"/>
        <w:rFonts w:hint="eastAsia"/>
        <w:sz w:val="28"/>
      </w:rPr>
      <w:t>—</w:t>
    </w:r>
  </w:p>
  <w:p w14:paraId="4A11ECE6">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25B0">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7E227EAE">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B26CE">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6E"/>
    <w:rsid w:val="000007A8"/>
    <w:rsid w:val="000044C7"/>
    <w:rsid w:val="000068A5"/>
    <w:rsid w:val="0003738B"/>
    <w:rsid w:val="00071623"/>
    <w:rsid w:val="000E2D13"/>
    <w:rsid w:val="00104CB0"/>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75490"/>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01EBC"/>
    <w:rsid w:val="00F13242"/>
    <w:rsid w:val="00F23CEA"/>
    <w:rsid w:val="00F35D3F"/>
    <w:rsid w:val="00F410DE"/>
    <w:rsid w:val="00F61E7C"/>
    <w:rsid w:val="00FB20E7"/>
    <w:rsid w:val="07FFDD83"/>
    <w:rsid w:val="1A126885"/>
    <w:rsid w:val="1EBD1CDF"/>
    <w:rsid w:val="29F79B4C"/>
    <w:rsid w:val="2DCA53AC"/>
    <w:rsid w:val="3C548CBE"/>
    <w:rsid w:val="4BCEDF44"/>
    <w:rsid w:val="5FF706BF"/>
    <w:rsid w:val="67EF89D4"/>
    <w:rsid w:val="6FF73E1C"/>
    <w:rsid w:val="75FE8CA1"/>
    <w:rsid w:val="75FFD392"/>
    <w:rsid w:val="79E1D540"/>
    <w:rsid w:val="7AFEF08A"/>
    <w:rsid w:val="7C7F3090"/>
    <w:rsid w:val="7F7F7F96"/>
    <w:rsid w:val="7FD75F6C"/>
    <w:rsid w:val="7FE54080"/>
    <w:rsid w:val="9FF7EF60"/>
    <w:rsid w:val="BCE752E4"/>
    <w:rsid w:val="BF7F705B"/>
    <w:rsid w:val="D5F7474B"/>
    <w:rsid w:val="D67C42A4"/>
    <w:rsid w:val="D777388D"/>
    <w:rsid w:val="E7F3E524"/>
    <w:rsid w:val="E9BD9F45"/>
    <w:rsid w:val="F4DDD23F"/>
    <w:rsid w:val="F8FC7557"/>
    <w:rsid w:val="FBFFD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iPriority w:val="0"/>
    <w:rPr>
      <w:rFonts w:eastAsia="文星仿宋"/>
      <w:sz w:val="32"/>
    </w:rPr>
  </w:style>
  <w:style w:type="paragraph" w:styleId="3">
    <w:name w:val="Date"/>
    <w:basedOn w:val="1"/>
    <w:next w:val="1"/>
    <w:qFormat/>
    <w:uiPriority w:val="0"/>
    <w:pPr>
      <w:ind w:left="100" w:leftChars="2500"/>
    </w:pPr>
  </w:style>
  <w:style w:type="paragraph" w:styleId="4">
    <w:name w:val="Balloon Text"/>
    <w:basedOn w:val="1"/>
    <w:semiHidden/>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uiPriority w:val="0"/>
    <w:rPr>
      <w:color w:val="0000FF"/>
      <w:u w:val="single"/>
    </w:rPr>
  </w:style>
  <w:style w:type="character" w:customStyle="1" w:styleId="11">
    <w:name w:val="正文文本 Char"/>
    <w:link w:val="2"/>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7</Pages>
  <Words>3197</Words>
  <Characters>3212</Characters>
  <Lines>23</Lines>
  <Paragraphs>6</Paragraphs>
  <TotalTime>8</TotalTime>
  <ScaleCrop>false</ScaleCrop>
  <LinksUpToDate>false</LinksUpToDate>
  <CharactersWithSpaces>3230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2014-06-11T16:51:00Z</dcterms:created>
  <dc:creator>jsj</dc:creator>
  <cp:lastModifiedBy> walawala</cp:lastModifiedBy>
  <cp:lastPrinted>2025-12-30T17:38:00Z</cp:lastPrinted>
  <dcterms:modified xsi:type="dcterms:W3CDTF">2026-01-04T02:53:19Z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806D799C25894169823AE8A400F5136B_13</vt:lpwstr>
  </property>
  <property fmtid="{D5CDD505-2E9C-101B-9397-08002B2CF9AE}" pid="4" name="KSOTemplateDocerSaveRecord">
    <vt:lpwstr>eyJoZGlkIjoiYjhjNTZhNzkwMDFiY2RhY2M2ODRlZDYyOWRiOGZlYjEiLCJ1c2VySWQiOiIxOTQ5MzU3NTIifQ==</vt:lpwstr>
  </property>
</Properties>
</file>