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A" w:rsidRDefault="0000374A">
      <w:pPr>
        <w:pStyle w:val="a3"/>
        <w:jc w:val="center"/>
        <w:rPr>
          <w:rFonts w:eastAsia="仿宋_GB2312"/>
          <w:szCs w:val="32"/>
        </w:rPr>
      </w:pPr>
      <w:bookmarkStart w:id="0" w:name="_GoBack"/>
      <w:bookmarkEnd w:id="0"/>
    </w:p>
    <w:p w:rsidR="0000374A" w:rsidRPr="006C412F" w:rsidRDefault="00AD12B9">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C412F">
        <w:rPr>
          <w:rStyle w:val="a9"/>
          <w:rFonts w:ascii="方正小标宋简体" w:eastAsia="方正小标宋简体" w:hAnsi="方正小标宋_GBK" w:cs="方正小标宋_GBK" w:hint="eastAsia"/>
          <w:color w:val="auto"/>
          <w:sz w:val="44"/>
          <w:szCs w:val="44"/>
          <w:u w:val="none"/>
        </w:rPr>
        <w:t>天津市人民政府办公厅关于划定</w:t>
      </w:r>
    </w:p>
    <w:p w:rsidR="0000374A" w:rsidRPr="006C412F" w:rsidRDefault="00AD12B9">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C412F">
        <w:rPr>
          <w:rStyle w:val="a9"/>
          <w:rFonts w:ascii="方正小标宋简体" w:eastAsia="方正小标宋简体" w:hAnsi="方正小标宋_GBK" w:cs="方正小标宋_GBK" w:hint="eastAsia"/>
          <w:color w:val="auto"/>
          <w:sz w:val="44"/>
          <w:szCs w:val="44"/>
          <w:u w:val="none"/>
        </w:rPr>
        <w:t>地下水禁止开采区和限制开采区的通知</w:t>
      </w:r>
    </w:p>
    <w:p w:rsidR="0000374A" w:rsidRDefault="0000374A">
      <w:pPr>
        <w:pStyle w:val="a3"/>
        <w:rPr>
          <w:rFonts w:ascii="仿宋_GB2312" w:eastAsia="仿宋_GB2312" w:hAnsi="仿宋_GB2312" w:cs="仿宋_GB2312"/>
          <w:szCs w:val="32"/>
        </w:rPr>
      </w:pPr>
    </w:p>
    <w:p w:rsidR="0000374A" w:rsidRDefault="00AD12B9">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00374A" w:rsidRDefault="00AD12B9" w:rsidP="006C412F">
      <w:pPr>
        <w:pStyle w:val="a3"/>
        <w:ind w:firstLineChars="196" w:firstLine="610"/>
        <w:rPr>
          <w:rFonts w:eastAsia="仿宋_GB2312"/>
          <w:szCs w:val="32"/>
        </w:rPr>
      </w:pPr>
      <w:r>
        <w:rPr>
          <w:rFonts w:eastAsia="仿宋_GB2312" w:hint="eastAsia"/>
          <w:szCs w:val="32"/>
        </w:rPr>
        <w:t>为深入贯彻实行最严格水资源管理制度，有效推进地下水超采综合治理和地面沉降防控，更好保护地下水资源，按照《地下水管理条例》，经市人民政府同意，划定本市地下水禁止开采区、限制开采区。现将有关事项通知如下：</w:t>
      </w:r>
    </w:p>
    <w:p w:rsidR="0000374A" w:rsidRDefault="00AD12B9" w:rsidP="006C412F">
      <w:pPr>
        <w:pStyle w:val="a3"/>
        <w:ind w:firstLineChars="196" w:firstLine="610"/>
        <w:rPr>
          <w:rFonts w:ascii="黑体" w:eastAsia="黑体" w:hAnsi="黑体" w:cs="黑体"/>
          <w:szCs w:val="32"/>
        </w:rPr>
      </w:pPr>
      <w:r>
        <w:rPr>
          <w:rFonts w:ascii="黑体" w:eastAsia="黑体" w:hAnsi="黑体" w:cs="黑体" w:hint="eastAsia"/>
          <w:szCs w:val="32"/>
        </w:rPr>
        <w:t>一、地下水禁止开采区、限制开采区</w:t>
      </w:r>
    </w:p>
    <w:p w:rsidR="0000374A" w:rsidRDefault="00AD12B9" w:rsidP="006C412F">
      <w:pPr>
        <w:pStyle w:val="a3"/>
        <w:ind w:firstLineChars="196" w:firstLine="610"/>
        <w:rPr>
          <w:rFonts w:ascii="楷体_GB2312" w:eastAsia="楷体_GB2312" w:hAnsi="楷体_GB2312" w:cs="楷体_GB2312"/>
          <w:szCs w:val="32"/>
        </w:rPr>
      </w:pPr>
      <w:r>
        <w:rPr>
          <w:rFonts w:ascii="楷体_GB2312" w:eastAsia="楷体_GB2312" w:hAnsi="楷体_GB2312" w:cs="楷体_GB2312" w:hint="eastAsia"/>
          <w:szCs w:val="32"/>
        </w:rPr>
        <w:t>（一）地下水禁止开采区</w:t>
      </w:r>
    </w:p>
    <w:p w:rsidR="0000374A" w:rsidRDefault="00AD12B9" w:rsidP="006C412F">
      <w:pPr>
        <w:pStyle w:val="a3"/>
        <w:ind w:firstLineChars="196" w:firstLine="610"/>
        <w:rPr>
          <w:rFonts w:eastAsia="仿宋_GB2312"/>
          <w:szCs w:val="32"/>
        </w:rPr>
      </w:pPr>
      <w:r>
        <w:rPr>
          <w:rFonts w:eastAsia="仿宋_GB2312" w:hint="eastAsia"/>
          <w:szCs w:val="32"/>
        </w:rPr>
        <w:t>1</w:t>
      </w:r>
      <w:r>
        <w:rPr>
          <w:rFonts w:eastAsia="仿宋_GB2312" w:hint="eastAsia"/>
          <w:szCs w:val="32"/>
        </w:rPr>
        <w:t>．和平区、河东区、河西区、南开区、河北区、红桥区，东丽区、西青区、津南区、北辰区外环线以内区域及环外建成区，以及滨海新区建成区、武清区建成区、宁河区建成区、</w:t>
      </w:r>
      <w:proofErr w:type="gramStart"/>
      <w:r>
        <w:rPr>
          <w:rFonts w:eastAsia="仿宋_GB2312" w:hint="eastAsia"/>
          <w:szCs w:val="32"/>
        </w:rPr>
        <w:t>静海区</w:t>
      </w:r>
      <w:proofErr w:type="gramEnd"/>
      <w:r>
        <w:rPr>
          <w:rFonts w:eastAsia="仿宋_GB2312" w:hint="eastAsia"/>
          <w:szCs w:val="32"/>
        </w:rPr>
        <w:t>建成区</w:t>
      </w:r>
      <w:r>
        <w:rPr>
          <w:rFonts w:eastAsia="仿宋_GB2312" w:hint="eastAsia"/>
          <w:szCs w:val="32"/>
          <w:lang w:val="en"/>
        </w:rPr>
        <w:t>，</w:t>
      </w:r>
      <w:r>
        <w:rPr>
          <w:rFonts w:ascii="仿宋_GB2312" w:eastAsia="仿宋_GB2312" w:hAnsi="仿宋_GB2312" w:cs="仿宋_GB2312" w:hint="eastAsia"/>
          <w:szCs w:val="32"/>
          <w:lang w:val="en"/>
        </w:rPr>
        <w:t>以上区域自来水管网覆盖范围</w:t>
      </w:r>
      <w:r>
        <w:rPr>
          <w:rFonts w:eastAsia="仿宋_GB2312" w:hint="eastAsia"/>
          <w:szCs w:val="32"/>
        </w:rPr>
        <w:t>禁止开采深层地下水。</w:t>
      </w:r>
    </w:p>
    <w:p w:rsidR="0000374A" w:rsidRDefault="00AD12B9" w:rsidP="006C412F">
      <w:pPr>
        <w:pStyle w:val="a3"/>
        <w:ind w:firstLineChars="196" w:firstLine="610"/>
        <w:rPr>
          <w:rFonts w:eastAsia="仿宋_GB2312"/>
          <w:szCs w:val="32"/>
        </w:rPr>
      </w:pPr>
      <w:r>
        <w:rPr>
          <w:rFonts w:eastAsia="仿宋_GB2312" w:hint="eastAsia"/>
          <w:szCs w:val="32"/>
        </w:rPr>
        <w:t>2</w:t>
      </w:r>
      <w:r>
        <w:rPr>
          <w:rFonts w:eastAsia="仿宋_GB2312" w:hint="eastAsia"/>
          <w:szCs w:val="32"/>
        </w:rPr>
        <w:t>．天津滨海国际机场管理范围禁止开采深层地下水。</w:t>
      </w:r>
    </w:p>
    <w:p w:rsidR="0000374A" w:rsidRDefault="00AD12B9" w:rsidP="006C412F">
      <w:pPr>
        <w:pStyle w:val="a3"/>
        <w:ind w:firstLineChars="196" w:firstLine="610"/>
        <w:rPr>
          <w:rFonts w:eastAsia="仿宋_GB2312"/>
          <w:szCs w:val="32"/>
        </w:rPr>
      </w:pPr>
      <w:r>
        <w:rPr>
          <w:rFonts w:eastAsia="仿宋_GB2312" w:hint="eastAsia"/>
          <w:szCs w:val="32"/>
        </w:rPr>
        <w:t>3</w:t>
      </w:r>
      <w:r>
        <w:rPr>
          <w:rFonts w:eastAsia="仿宋_GB2312" w:hint="eastAsia"/>
          <w:szCs w:val="32"/>
        </w:rPr>
        <w:t>．沿海防潮堤两侧各</w:t>
      </w:r>
      <w:r>
        <w:rPr>
          <w:rFonts w:eastAsia="仿宋_GB2312" w:hint="eastAsia"/>
          <w:szCs w:val="32"/>
        </w:rPr>
        <w:t>1</w:t>
      </w:r>
      <w:r>
        <w:rPr>
          <w:rFonts w:eastAsia="仿宋_GB2312" w:hint="eastAsia"/>
          <w:szCs w:val="32"/>
        </w:rPr>
        <w:t>公里范围内和围海造陆的全部陆域范围禁止开采深层地下水。</w:t>
      </w:r>
    </w:p>
    <w:p w:rsidR="0000374A" w:rsidRDefault="00AD12B9" w:rsidP="006C412F">
      <w:pPr>
        <w:pStyle w:val="a3"/>
        <w:ind w:firstLineChars="196" w:firstLine="610"/>
        <w:rPr>
          <w:rFonts w:eastAsia="仿宋_GB2312"/>
          <w:szCs w:val="32"/>
        </w:rPr>
      </w:pPr>
      <w:r>
        <w:rPr>
          <w:rFonts w:eastAsia="仿宋_GB2312" w:hint="eastAsia"/>
          <w:szCs w:val="32"/>
        </w:rPr>
        <w:t>4</w:t>
      </w:r>
      <w:r>
        <w:rPr>
          <w:rFonts w:eastAsia="仿宋_GB2312" w:hint="eastAsia"/>
          <w:szCs w:val="32"/>
        </w:rPr>
        <w:t>．年度地面沉降量</w:t>
      </w:r>
      <w:r>
        <w:rPr>
          <w:rFonts w:eastAsia="仿宋_GB2312" w:hint="eastAsia"/>
          <w:szCs w:val="32"/>
        </w:rPr>
        <w:t>50</w:t>
      </w:r>
      <w:r>
        <w:rPr>
          <w:rFonts w:eastAsia="仿宋_GB2312" w:hint="eastAsia"/>
          <w:szCs w:val="32"/>
        </w:rPr>
        <w:t>毫米以上的地区禁止开采深层地下水。</w:t>
      </w:r>
    </w:p>
    <w:p w:rsidR="0000374A" w:rsidRDefault="00AD12B9" w:rsidP="006C412F">
      <w:pPr>
        <w:pStyle w:val="a3"/>
        <w:ind w:firstLineChars="196" w:firstLine="610"/>
        <w:rPr>
          <w:rFonts w:eastAsia="仿宋_GB2312"/>
          <w:szCs w:val="32"/>
        </w:rPr>
      </w:pPr>
      <w:r>
        <w:rPr>
          <w:rFonts w:eastAsia="仿宋_GB2312" w:hint="eastAsia"/>
          <w:szCs w:val="32"/>
        </w:rPr>
        <w:t>5</w:t>
      </w:r>
      <w:r>
        <w:rPr>
          <w:rFonts w:eastAsia="仿宋_GB2312" w:hint="eastAsia"/>
          <w:szCs w:val="32"/>
        </w:rPr>
        <w:t>．我市行政区域内高速铁路线路路堤坡脚、路堑坡顶或者铁路桥梁外侧起向外各</w:t>
      </w:r>
      <w:r>
        <w:rPr>
          <w:rFonts w:eastAsia="仿宋_GB2312" w:hint="eastAsia"/>
          <w:szCs w:val="32"/>
        </w:rPr>
        <w:t>200</w:t>
      </w:r>
      <w:r>
        <w:rPr>
          <w:rFonts w:eastAsia="仿宋_GB2312" w:hint="eastAsia"/>
          <w:szCs w:val="32"/>
        </w:rPr>
        <w:t>米范围内禁止开采地下水。</w:t>
      </w:r>
    </w:p>
    <w:p w:rsidR="0000374A" w:rsidRDefault="00AD12B9" w:rsidP="006C412F">
      <w:pPr>
        <w:pStyle w:val="a3"/>
        <w:ind w:firstLineChars="196" w:firstLine="610"/>
        <w:rPr>
          <w:rFonts w:ascii="楷体_GB2312" w:eastAsia="楷体_GB2312" w:hAnsi="楷体_GB2312" w:cs="楷体_GB2312"/>
          <w:szCs w:val="32"/>
        </w:rPr>
      </w:pPr>
      <w:r>
        <w:rPr>
          <w:rFonts w:ascii="楷体_GB2312" w:eastAsia="楷体_GB2312" w:hAnsi="楷体_GB2312" w:cs="楷体_GB2312" w:hint="eastAsia"/>
          <w:szCs w:val="32"/>
        </w:rPr>
        <w:lastRenderedPageBreak/>
        <w:t>（</w:t>
      </w:r>
      <w:r>
        <w:rPr>
          <w:rFonts w:ascii="楷体_GB2312" w:eastAsia="楷体_GB2312" w:hAnsi="楷体_GB2312" w:cs="楷体_GB2312" w:hint="eastAsia"/>
          <w:szCs w:val="32"/>
        </w:rPr>
        <w:t>二）地下水限制开采区</w:t>
      </w:r>
    </w:p>
    <w:p w:rsidR="0000374A" w:rsidRDefault="00AD12B9" w:rsidP="006C412F">
      <w:pPr>
        <w:pStyle w:val="a3"/>
        <w:ind w:firstLineChars="196" w:firstLine="610"/>
        <w:rPr>
          <w:rFonts w:eastAsia="仿宋_GB2312"/>
          <w:szCs w:val="32"/>
        </w:rPr>
      </w:pPr>
      <w:r>
        <w:rPr>
          <w:rFonts w:eastAsia="仿宋_GB2312" w:hint="eastAsia"/>
          <w:szCs w:val="32"/>
        </w:rPr>
        <w:t>武清区大王古庄、河西</w:t>
      </w:r>
      <w:proofErr w:type="gramStart"/>
      <w:r>
        <w:rPr>
          <w:rFonts w:eastAsia="仿宋_GB2312" w:hint="eastAsia"/>
          <w:szCs w:val="32"/>
        </w:rPr>
        <w:t>务</w:t>
      </w:r>
      <w:proofErr w:type="gramEnd"/>
      <w:r>
        <w:rPr>
          <w:rFonts w:eastAsia="仿宋_GB2312" w:hint="eastAsia"/>
          <w:szCs w:val="32"/>
        </w:rPr>
        <w:t>、河北屯及宝坻区新开口、口东、八门城一线以南地区除地下水禁止开采区以外的其他区域限制开采深层地下水。</w:t>
      </w:r>
    </w:p>
    <w:p w:rsidR="0000374A" w:rsidRDefault="00AD12B9" w:rsidP="006C412F">
      <w:pPr>
        <w:pStyle w:val="a3"/>
        <w:ind w:firstLineChars="196" w:firstLine="610"/>
        <w:rPr>
          <w:rFonts w:eastAsia="仿宋_GB2312"/>
          <w:szCs w:val="32"/>
        </w:rPr>
      </w:pPr>
      <w:r>
        <w:rPr>
          <w:rFonts w:eastAsia="仿宋_GB2312" w:hint="eastAsia"/>
          <w:szCs w:val="32"/>
        </w:rPr>
        <w:t>本市地下水禁止开采区和限制开采区涉及乡镇（街道）一览表由市水</w:t>
      </w:r>
      <w:proofErr w:type="gramStart"/>
      <w:r>
        <w:rPr>
          <w:rFonts w:eastAsia="仿宋_GB2312" w:hint="eastAsia"/>
          <w:szCs w:val="32"/>
        </w:rPr>
        <w:t>务</w:t>
      </w:r>
      <w:proofErr w:type="gramEnd"/>
      <w:r>
        <w:rPr>
          <w:rFonts w:eastAsia="仿宋_GB2312" w:hint="eastAsia"/>
          <w:szCs w:val="32"/>
        </w:rPr>
        <w:t>局结合实际定期公布。</w:t>
      </w:r>
    </w:p>
    <w:p w:rsidR="0000374A" w:rsidRDefault="00AD12B9" w:rsidP="006C412F">
      <w:pPr>
        <w:pStyle w:val="a3"/>
        <w:ind w:firstLineChars="196" w:firstLine="610"/>
        <w:rPr>
          <w:rFonts w:ascii="黑体" w:eastAsia="黑体" w:hAnsi="黑体" w:cs="黑体"/>
          <w:szCs w:val="32"/>
        </w:rPr>
      </w:pPr>
      <w:r>
        <w:rPr>
          <w:rFonts w:ascii="黑体" w:eastAsia="黑体" w:hAnsi="黑体" w:cs="黑体" w:hint="eastAsia"/>
          <w:szCs w:val="32"/>
        </w:rPr>
        <w:t>二、禁止开采区、限制开采区地下水管理要求</w:t>
      </w:r>
    </w:p>
    <w:p w:rsidR="0000374A" w:rsidRDefault="00AD12B9" w:rsidP="006C412F">
      <w:pPr>
        <w:pStyle w:val="a3"/>
        <w:ind w:firstLineChars="196" w:firstLine="610"/>
        <w:rPr>
          <w:rFonts w:eastAsia="仿宋_GB2312"/>
          <w:szCs w:val="32"/>
        </w:rPr>
      </w:pPr>
      <w:r>
        <w:rPr>
          <w:rFonts w:eastAsia="仿宋_GB2312" w:hint="eastAsia"/>
          <w:szCs w:val="32"/>
        </w:rPr>
        <w:t>（一）严格取水审批管理，地下水取水实行区域总量控制和年度用水计划管理。除为保障地下工程施工安全和生产安全必须进行临时应急取（排）水，为消除对公共安全或者公共利益的危害临时应急取水，为开展地下水监测、勘探、试验少量取水的情形外，在地下水禁止开采区内禁止取用地下水。除以上规定的情形外，在地下水限制开采区内禁止新增取用地下水，并逐步削减</w:t>
      </w:r>
      <w:r>
        <w:rPr>
          <w:rFonts w:eastAsia="仿宋_GB2312" w:hint="eastAsia"/>
          <w:spacing w:val="-6"/>
          <w:szCs w:val="32"/>
        </w:rPr>
        <w:t>地下水取水量；以上规定的情形消除后，应当立即停止取用地下水。</w:t>
      </w:r>
    </w:p>
    <w:p w:rsidR="0000374A" w:rsidRDefault="00AD12B9" w:rsidP="006C412F">
      <w:pPr>
        <w:pStyle w:val="a3"/>
        <w:ind w:firstLineChars="196" w:firstLine="610"/>
        <w:rPr>
          <w:rFonts w:ascii="仿宋_GB2312" w:eastAsia="仿宋_GB2312" w:hAnsi="仿宋_GB2312" w:cs="仿宋_GB2312"/>
          <w:szCs w:val="32"/>
          <w:u w:val="double"/>
        </w:rPr>
      </w:pPr>
      <w:r>
        <w:rPr>
          <w:rFonts w:ascii="仿宋_GB2312" w:eastAsia="仿宋_GB2312" w:hAnsi="仿宋_GB2312" w:cs="仿宋_GB2312" w:hint="eastAsia"/>
          <w:szCs w:val="32"/>
        </w:rPr>
        <w:t>（二）强化地下水超采综合治理，超采区各区人民政府是地下水超采综合治理工作的责任主体，要加强对地下水超采综合治理工作的领</w:t>
      </w:r>
      <w:r>
        <w:rPr>
          <w:rFonts w:ascii="仿宋_GB2312" w:eastAsia="仿宋_GB2312" w:hAnsi="仿宋_GB2312" w:cs="仿宋_GB2312" w:hint="eastAsia"/>
          <w:szCs w:val="32"/>
        </w:rPr>
        <w:t>导和统筹协调，制定年度地下水超采综合治理计划，通过深化节水控水、加快水源置换、加强水源调度、严格用水管控等综合措施，逐步扩大地表水供水范围，减少深层地下水开采。</w:t>
      </w:r>
    </w:p>
    <w:p w:rsidR="0000374A" w:rsidRDefault="00AD12B9" w:rsidP="006C412F">
      <w:pPr>
        <w:pStyle w:val="a3"/>
        <w:ind w:firstLineChars="196" w:firstLine="610"/>
        <w:rPr>
          <w:rFonts w:eastAsia="仿宋_GB2312"/>
          <w:szCs w:val="32"/>
        </w:rPr>
      </w:pPr>
      <w:r>
        <w:rPr>
          <w:rFonts w:eastAsia="仿宋_GB2312" w:hint="eastAsia"/>
          <w:szCs w:val="32"/>
        </w:rPr>
        <w:t>（</w:t>
      </w:r>
      <w:r>
        <w:rPr>
          <w:rFonts w:eastAsia="仿宋_GB2312" w:hint="eastAsia"/>
          <w:szCs w:val="32"/>
        </w:rPr>
        <w:t>三</w:t>
      </w:r>
      <w:r>
        <w:rPr>
          <w:rFonts w:eastAsia="仿宋_GB2312" w:hint="eastAsia"/>
          <w:szCs w:val="32"/>
        </w:rPr>
        <w:t>）全市范围内严控新增地下水地源热泵工程，现有地下水地源热泵工程运行期间要做到等量回灌，运行期结束后要严格控制回扬水量。</w:t>
      </w:r>
    </w:p>
    <w:p w:rsidR="0000374A" w:rsidRDefault="00AD12B9" w:rsidP="006C412F">
      <w:pPr>
        <w:pStyle w:val="a3"/>
        <w:ind w:firstLineChars="196" w:firstLine="610"/>
        <w:rPr>
          <w:rFonts w:eastAsia="仿宋_GB2312"/>
          <w:szCs w:val="32"/>
        </w:rPr>
      </w:pPr>
      <w:r>
        <w:rPr>
          <w:rFonts w:eastAsia="仿宋_GB2312" w:hint="eastAsia"/>
          <w:szCs w:val="32"/>
        </w:rPr>
        <w:lastRenderedPageBreak/>
        <w:t>（</w:t>
      </w:r>
      <w:r>
        <w:rPr>
          <w:rFonts w:eastAsia="仿宋_GB2312" w:hint="eastAsia"/>
          <w:szCs w:val="32"/>
        </w:rPr>
        <w:t>四</w:t>
      </w:r>
      <w:r>
        <w:rPr>
          <w:rFonts w:eastAsia="仿宋_GB2312" w:hint="eastAsia"/>
          <w:szCs w:val="32"/>
        </w:rPr>
        <w:t>）</w:t>
      </w:r>
      <w:r>
        <w:rPr>
          <w:rFonts w:eastAsia="仿宋_GB2312" w:hint="eastAsia"/>
          <w:spacing w:val="-2"/>
          <w:szCs w:val="32"/>
        </w:rPr>
        <w:t>加强机井管理，水行政主管部门要建立机井管理台账，做好机井分类管理，及时</w:t>
      </w:r>
      <w:proofErr w:type="gramStart"/>
      <w:r>
        <w:rPr>
          <w:rFonts w:eastAsia="仿宋_GB2312" w:hint="eastAsia"/>
          <w:spacing w:val="-2"/>
          <w:szCs w:val="32"/>
        </w:rPr>
        <w:t>更新机井台</w:t>
      </w:r>
      <w:proofErr w:type="gramEnd"/>
      <w:r>
        <w:rPr>
          <w:rFonts w:eastAsia="仿宋_GB2312" w:hint="eastAsia"/>
          <w:spacing w:val="-2"/>
          <w:szCs w:val="32"/>
        </w:rPr>
        <w:t>账，在用机井要按照取水监测计量要求做好监测计量管理；对关停的机井要定期检查，依法注销取水许可证，严查应关未关、</w:t>
      </w:r>
      <w:proofErr w:type="gramStart"/>
      <w:r>
        <w:rPr>
          <w:rFonts w:eastAsia="仿宋_GB2312" w:hint="eastAsia"/>
          <w:spacing w:val="-2"/>
          <w:szCs w:val="32"/>
        </w:rPr>
        <w:t>明关暗用</w:t>
      </w:r>
      <w:proofErr w:type="gramEnd"/>
      <w:r>
        <w:rPr>
          <w:rFonts w:eastAsia="仿宋_GB2312" w:hint="eastAsia"/>
          <w:spacing w:val="-2"/>
          <w:szCs w:val="32"/>
        </w:rPr>
        <w:t>、停用复用等违法违规行</w:t>
      </w:r>
      <w:r>
        <w:rPr>
          <w:rFonts w:eastAsia="仿宋_GB2312" w:hint="eastAsia"/>
          <w:spacing w:val="-2"/>
          <w:szCs w:val="32"/>
        </w:rPr>
        <w:t>为。</w:t>
      </w:r>
    </w:p>
    <w:p w:rsidR="0000374A" w:rsidRDefault="00AD12B9" w:rsidP="006C412F">
      <w:pPr>
        <w:pStyle w:val="a3"/>
        <w:ind w:firstLineChars="196" w:firstLine="610"/>
        <w:rPr>
          <w:rFonts w:eastAsia="仿宋_GB2312"/>
          <w:szCs w:val="32"/>
        </w:rPr>
      </w:pPr>
      <w:r>
        <w:rPr>
          <w:rFonts w:eastAsia="仿宋_GB2312" w:hint="eastAsia"/>
          <w:szCs w:val="32"/>
        </w:rPr>
        <w:t>本通知自</w:t>
      </w:r>
      <w:r>
        <w:rPr>
          <w:rFonts w:eastAsia="仿宋_GB2312" w:hint="eastAsia"/>
          <w:szCs w:val="32"/>
        </w:rPr>
        <w:t>印</w:t>
      </w:r>
      <w:r>
        <w:rPr>
          <w:rFonts w:eastAsia="仿宋_GB2312" w:hint="eastAsia"/>
          <w:szCs w:val="32"/>
        </w:rPr>
        <w:t>发之日起施行，有效期五年。《天津市人民政府办公厅关于重新划定地下水禁采区和限采区范围严格地下水资源管理的通知》（津政办发〔</w:t>
      </w:r>
      <w:r>
        <w:rPr>
          <w:rFonts w:eastAsia="仿宋_GB2312" w:hint="eastAsia"/>
          <w:szCs w:val="32"/>
        </w:rPr>
        <w:t>2014</w:t>
      </w:r>
      <w:r>
        <w:rPr>
          <w:rFonts w:eastAsia="仿宋_GB2312" w:hint="eastAsia"/>
          <w:szCs w:val="32"/>
        </w:rPr>
        <w:t>〕</w:t>
      </w:r>
      <w:r>
        <w:rPr>
          <w:rFonts w:eastAsia="仿宋_GB2312" w:hint="eastAsia"/>
          <w:szCs w:val="32"/>
        </w:rPr>
        <w:t>52</w:t>
      </w:r>
      <w:r>
        <w:rPr>
          <w:rFonts w:eastAsia="仿宋_GB2312" w:hint="eastAsia"/>
          <w:szCs w:val="32"/>
        </w:rPr>
        <w:t>号）同时废止。</w:t>
      </w:r>
    </w:p>
    <w:p w:rsidR="0000374A" w:rsidRDefault="0000374A">
      <w:pPr>
        <w:pStyle w:val="a3"/>
        <w:rPr>
          <w:rFonts w:eastAsia="仿宋_GB2312"/>
          <w:szCs w:val="32"/>
        </w:rPr>
      </w:pPr>
    </w:p>
    <w:p w:rsidR="0000374A" w:rsidRDefault="006C412F" w:rsidP="006C412F">
      <w:pPr>
        <w:pStyle w:val="a3"/>
        <w:ind w:firstLineChars="1500" w:firstLine="4665"/>
        <w:rPr>
          <w:rFonts w:eastAsia="仿宋_GB2312" w:hint="eastAsia"/>
          <w:szCs w:val="32"/>
        </w:rPr>
      </w:pPr>
      <w:r>
        <w:rPr>
          <w:rFonts w:eastAsia="仿宋_GB2312" w:hint="eastAsia"/>
          <w:szCs w:val="32"/>
        </w:rPr>
        <w:t>天津市人民政府办公厅</w:t>
      </w:r>
    </w:p>
    <w:p w:rsidR="0000374A" w:rsidRDefault="00AD12B9" w:rsidP="006C412F">
      <w:pPr>
        <w:pStyle w:val="a3"/>
        <w:ind w:firstLineChars="1600" w:firstLine="4976"/>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7</w:t>
      </w:r>
      <w:r>
        <w:rPr>
          <w:rFonts w:eastAsia="仿宋_GB2312" w:hint="eastAsia"/>
          <w:szCs w:val="32"/>
        </w:rPr>
        <w:t>月</w:t>
      </w:r>
      <w:r>
        <w:rPr>
          <w:rFonts w:eastAsia="仿宋_GB2312" w:hint="eastAsia"/>
          <w:szCs w:val="32"/>
        </w:rPr>
        <w:t>20</w:t>
      </w:r>
      <w:r>
        <w:rPr>
          <w:rFonts w:eastAsia="仿宋_GB2312" w:hint="eastAsia"/>
          <w:szCs w:val="32"/>
        </w:rPr>
        <w:t>日</w:t>
      </w:r>
    </w:p>
    <w:p w:rsidR="0000374A" w:rsidRDefault="00AD12B9">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00374A" w:rsidRDefault="0000374A">
      <w:pPr>
        <w:pStyle w:val="a3"/>
        <w:rPr>
          <w:rFonts w:eastAsia="仿宋_GB2312"/>
          <w:szCs w:val="32"/>
        </w:rPr>
      </w:pPr>
    </w:p>
    <w:sectPr w:rsidR="0000374A">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2B9" w:rsidRDefault="00AD12B9">
      <w:r>
        <w:separator/>
      </w:r>
    </w:p>
  </w:endnote>
  <w:endnote w:type="continuationSeparator" w:id="0">
    <w:p w:rsidR="00AD12B9" w:rsidRDefault="00AD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4A" w:rsidRDefault="00AD12B9">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0374A" w:rsidRDefault="0000374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4A" w:rsidRDefault="00AD12B9">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EB4CDF">
      <w:rPr>
        <w:rStyle w:val="a8"/>
        <w:noProof/>
        <w:sz w:val="28"/>
      </w:rPr>
      <w:t>3</w:t>
    </w:r>
    <w:r>
      <w:rPr>
        <w:rStyle w:val="a8"/>
        <w:sz w:val="28"/>
      </w:rPr>
      <w:fldChar w:fldCharType="end"/>
    </w:r>
    <w:r>
      <w:rPr>
        <w:rStyle w:val="a8"/>
        <w:sz w:val="28"/>
      </w:rPr>
      <w:t xml:space="preserve"> </w:t>
    </w:r>
    <w:r>
      <w:rPr>
        <w:rStyle w:val="a8"/>
        <w:rFonts w:hint="eastAsia"/>
        <w:sz w:val="28"/>
      </w:rPr>
      <w:t>—</w:t>
    </w:r>
  </w:p>
  <w:p w:rsidR="0000374A" w:rsidRDefault="0000374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2B9" w:rsidRDefault="00AD12B9">
      <w:r>
        <w:separator/>
      </w:r>
    </w:p>
  </w:footnote>
  <w:footnote w:type="continuationSeparator" w:id="0">
    <w:p w:rsidR="00AD12B9" w:rsidRDefault="00AD1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4A" w:rsidRDefault="0000374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7F77DA1"/>
    <w:rsid w:val="BF7F705B"/>
    <w:rsid w:val="D67C42A4"/>
    <w:rsid w:val="DFEF7C97"/>
    <w:rsid w:val="EBF5C532"/>
    <w:rsid w:val="F4DC4622"/>
    <w:rsid w:val="000007A8"/>
    <w:rsid w:val="0000374A"/>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C412F"/>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D12B9"/>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EB4CDF"/>
    <w:rsid w:val="00F13242"/>
    <w:rsid w:val="00F23CEA"/>
    <w:rsid w:val="00F35D3F"/>
    <w:rsid w:val="00F410DE"/>
    <w:rsid w:val="00F61E7C"/>
    <w:rsid w:val="00FB20E7"/>
    <w:rsid w:val="1EBD1CDF"/>
    <w:rsid w:val="24BFB859"/>
    <w:rsid w:val="29F79B4C"/>
    <w:rsid w:val="4BCEDF44"/>
    <w:rsid w:val="5FDEFC4D"/>
    <w:rsid w:val="638A13A3"/>
    <w:rsid w:val="67EF89D4"/>
    <w:rsid w:val="75FFD392"/>
    <w:rsid w:val="7AFEF08A"/>
    <w:rsid w:val="7DFFD15E"/>
    <w:rsid w:val="7FEE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180</Words>
  <Characters>1029</Characters>
  <Application>Microsoft Office Word</Application>
  <DocSecurity>0</DocSecurity>
  <Lines>8</Lines>
  <Paragraphs>2</Paragraphs>
  <ScaleCrop>false</ScaleCrop>
  <Company>tjszf</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2020-12-28T17:46:00Z</cp:lastPrinted>
  <dcterms:created xsi:type="dcterms:W3CDTF">2014-06-11T16:51:00Z</dcterms:created>
  <dcterms:modified xsi:type="dcterms:W3CDTF">2024-07-24T08:36:00Z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CA0398C11CFC59C0A0259E664CCBB506</vt:lpwstr>
  </property>
</Properties>
</file>