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495" w:rsidRPr="000F7372" w:rsidRDefault="009119B0" w:rsidP="000F7372">
      <w:pPr>
        <w:jc w:val="center"/>
        <w:rPr>
          <w:rFonts w:ascii="方正小标宋简体" w:eastAsia="方正小标宋简体" w:hint="eastAsia"/>
          <w:sz w:val="44"/>
          <w:szCs w:val="44"/>
        </w:rPr>
      </w:pPr>
      <w:r w:rsidRPr="000F7372">
        <w:rPr>
          <w:rFonts w:ascii="方正小标宋简体" w:eastAsia="方正小标宋简体" w:hint="eastAsia"/>
          <w:sz w:val="44"/>
          <w:szCs w:val="44"/>
        </w:rPr>
        <w:t>天津市人民政府办公厅关于</w:t>
      </w:r>
    </w:p>
    <w:p w:rsidR="00423495" w:rsidRPr="000F7372" w:rsidRDefault="009119B0" w:rsidP="000F7372">
      <w:pPr>
        <w:jc w:val="center"/>
        <w:rPr>
          <w:rFonts w:ascii="方正小标宋简体" w:eastAsia="方正小标宋简体" w:hint="eastAsia"/>
          <w:sz w:val="44"/>
          <w:szCs w:val="44"/>
        </w:rPr>
      </w:pPr>
      <w:r w:rsidRPr="000F7372">
        <w:rPr>
          <w:rFonts w:ascii="方正小标宋简体" w:eastAsia="方正小标宋简体" w:hint="eastAsia"/>
          <w:sz w:val="44"/>
          <w:szCs w:val="44"/>
        </w:rPr>
        <w:t>印发</w:t>
      </w:r>
      <w:r w:rsidRPr="000F7372">
        <w:rPr>
          <w:rFonts w:ascii="方正小标宋简体" w:eastAsia="方正小标宋简体" w:hint="eastAsia"/>
          <w:sz w:val="44"/>
          <w:szCs w:val="44"/>
        </w:rPr>
        <w:t>天津市税费征收保障办法的通知</w:t>
      </w:r>
    </w:p>
    <w:p w:rsidR="00423495" w:rsidRDefault="00423495">
      <w:pPr>
        <w:pStyle w:val="a3"/>
        <w:rPr>
          <w:rFonts w:ascii="仿宋_GB2312" w:eastAsia="仿宋_GB2312" w:hAnsi="仿宋_GB2312" w:cs="仿宋_GB2312"/>
          <w:szCs w:val="32"/>
        </w:rPr>
      </w:pPr>
    </w:p>
    <w:p w:rsidR="00423495" w:rsidRDefault="009119B0">
      <w:pPr>
        <w:pStyle w:val="a3"/>
        <w:rPr>
          <w:rFonts w:ascii="仿宋_GB2312" w:eastAsia="仿宋_GB2312"/>
        </w:rPr>
      </w:pPr>
      <w:r>
        <w:rPr>
          <w:rFonts w:ascii="仿宋_GB2312" w:eastAsia="仿宋_GB2312" w:hint="eastAsia"/>
        </w:rPr>
        <w:t>各区人民政府，市政府各委、办、局：</w:t>
      </w:r>
    </w:p>
    <w:p w:rsidR="00423495" w:rsidRDefault="009119B0" w:rsidP="000F7372">
      <w:pPr>
        <w:pStyle w:val="a3"/>
        <w:ind w:firstLineChars="196" w:firstLine="610"/>
        <w:rPr>
          <w:rFonts w:eastAsia="仿宋_GB2312"/>
          <w:szCs w:val="32"/>
        </w:rPr>
      </w:pPr>
      <w:r>
        <w:rPr>
          <w:rFonts w:eastAsia="仿宋_GB2312" w:hint="eastAsia"/>
          <w:szCs w:val="32"/>
        </w:rPr>
        <w:t>经市人民政府同意，现将《天津市税费征收保障办法》印发给你们，请照此执行。</w:t>
      </w:r>
    </w:p>
    <w:p w:rsidR="00423495" w:rsidRDefault="00423495">
      <w:pPr>
        <w:pStyle w:val="a3"/>
        <w:rPr>
          <w:rFonts w:eastAsia="仿宋_GB2312"/>
          <w:szCs w:val="32"/>
        </w:rPr>
      </w:pPr>
    </w:p>
    <w:p w:rsidR="000F7372" w:rsidRDefault="000F7372" w:rsidP="000F7372">
      <w:pPr>
        <w:pStyle w:val="a3"/>
        <w:ind w:firstLineChars="1100" w:firstLine="3421"/>
        <w:rPr>
          <w:rFonts w:eastAsia="仿宋_GB2312" w:hint="eastAsia"/>
          <w:szCs w:val="32"/>
        </w:rPr>
      </w:pPr>
      <w:r w:rsidRPr="000F7372">
        <w:rPr>
          <w:rFonts w:eastAsia="仿宋_GB2312" w:hint="eastAsia"/>
          <w:szCs w:val="32"/>
        </w:rPr>
        <w:t>天津市人民政府办公厅</w:t>
      </w:r>
    </w:p>
    <w:p w:rsidR="00423495" w:rsidRDefault="009119B0" w:rsidP="000F7372">
      <w:pPr>
        <w:pStyle w:val="a3"/>
        <w:ind w:firstLineChars="1200" w:firstLine="3732"/>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szCs w:val="32"/>
        </w:rPr>
        <w:t>6</w:t>
      </w:r>
      <w:r>
        <w:rPr>
          <w:rFonts w:eastAsia="仿宋_GB2312" w:hint="eastAsia"/>
          <w:szCs w:val="32"/>
        </w:rPr>
        <w:t>月</w:t>
      </w:r>
      <w:r>
        <w:rPr>
          <w:rFonts w:eastAsia="仿宋_GB2312"/>
          <w:szCs w:val="32"/>
        </w:rPr>
        <w:t>20</w:t>
      </w:r>
      <w:r>
        <w:rPr>
          <w:rFonts w:eastAsia="仿宋_GB2312" w:hint="eastAsia"/>
          <w:szCs w:val="32"/>
        </w:rPr>
        <w:t>日</w:t>
      </w:r>
      <w:r>
        <w:rPr>
          <w:rFonts w:eastAsia="仿宋_GB2312" w:hint="eastAsia"/>
          <w:szCs w:val="32"/>
        </w:rPr>
        <w:t xml:space="preserve">        </w:t>
      </w:r>
    </w:p>
    <w:p w:rsidR="00423495" w:rsidRDefault="009119B0" w:rsidP="000F7372">
      <w:pPr>
        <w:pStyle w:val="a3"/>
        <w:ind w:firstLine="615"/>
        <w:rPr>
          <w:rFonts w:eastAsia="仿宋_GB2312" w:hint="eastAsia"/>
          <w:szCs w:val="32"/>
        </w:rPr>
      </w:pPr>
      <w:r>
        <w:rPr>
          <w:rFonts w:eastAsia="仿宋_GB2312" w:hint="eastAsia"/>
          <w:szCs w:val="32"/>
        </w:rPr>
        <w:t>（此件主动公开）</w:t>
      </w:r>
    </w:p>
    <w:p w:rsidR="000F7372" w:rsidRPr="000F7372" w:rsidRDefault="000F7372" w:rsidP="000F7372">
      <w:pPr>
        <w:pStyle w:val="a3"/>
        <w:ind w:firstLine="615"/>
        <w:rPr>
          <w:rFonts w:eastAsia="仿宋_GB2312"/>
          <w:szCs w:val="32"/>
        </w:rPr>
      </w:pPr>
    </w:p>
    <w:p w:rsidR="00423495" w:rsidRPr="000F7372" w:rsidRDefault="009119B0" w:rsidP="000F7372">
      <w:pPr>
        <w:jc w:val="center"/>
        <w:rPr>
          <w:rFonts w:ascii="方正小标宋简体" w:eastAsia="方正小标宋简体" w:hint="eastAsia"/>
          <w:sz w:val="44"/>
          <w:szCs w:val="44"/>
        </w:rPr>
      </w:pPr>
      <w:r w:rsidRPr="000F7372">
        <w:rPr>
          <w:rFonts w:ascii="方正小标宋简体" w:eastAsia="方正小标宋简体" w:hint="eastAsia"/>
          <w:sz w:val="44"/>
          <w:szCs w:val="44"/>
        </w:rPr>
        <w:t>天津市税费征收保障办法</w:t>
      </w:r>
    </w:p>
    <w:p w:rsidR="00423495" w:rsidRDefault="00423495">
      <w:pPr>
        <w:pStyle w:val="a3"/>
        <w:jc w:val="center"/>
        <w:rPr>
          <w:rFonts w:ascii="黑体" w:eastAsia="黑体" w:hAnsi="黑体" w:cs="黑体"/>
          <w:szCs w:val="32"/>
        </w:rPr>
      </w:pPr>
    </w:p>
    <w:p w:rsidR="00423495" w:rsidRDefault="009119B0">
      <w:pPr>
        <w:pStyle w:val="a3"/>
        <w:jc w:val="center"/>
        <w:rPr>
          <w:rFonts w:ascii="黑体" w:eastAsia="黑体" w:hAnsi="黑体" w:cs="黑体"/>
          <w:szCs w:val="32"/>
        </w:rPr>
      </w:pPr>
      <w:r>
        <w:rPr>
          <w:rFonts w:ascii="黑体" w:eastAsia="黑体" w:hAnsi="黑体" w:cs="黑体" w:hint="eastAsia"/>
          <w:szCs w:val="32"/>
        </w:rPr>
        <w:t>第一章</w:t>
      </w:r>
      <w:r>
        <w:rPr>
          <w:rFonts w:eastAsia="黑体" w:cs="黑体" w:hint="eastAsia"/>
          <w:szCs w:val="32"/>
          <w:lang w:val="en"/>
        </w:rPr>
        <w:t xml:space="preserve">　</w:t>
      </w:r>
      <w:r>
        <w:rPr>
          <w:rFonts w:ascii="黑体" w:eastAsia="黑体" w:hAnsi="黑体" w:cs="黑体" w:hint="eastAsia"/>
          <w:szCs w:val="32"/>
        </w:rPr>
        <w:t>总则</w:t>
      </w:r>
    </w:p>
    <w:p w:rsidR="00423495" w:rsidRDefault="00423495">
      <w:pPr>
        <w:pStyle w:val="a3"/>
        <w:rPr>
          <w:rFonts w:eastAsia="仿宋_GB2312"/>
          <w:szCs w:val="32"/>
        </w:rPr>
      </w:pP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为加强本市税费征收管理，切实维护纳税人、缴费人合法权益，持续优化营商环境，培育税源费源，促进本市高质量发展，根据《中华人民共和国税收征收管理法》等规定，结合本市实际，制定本办法。</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本市行政区域内各级人民政府及其有关部门和单</w:t>
      </w:r>
      <w:r>
        <w:rPr>
          <w:rFonts w:eastAsia="仿宋_GB2312" w:hint="eastAsia"/>
          <w:szCs w:val="32"/>
        </w:rPr>
        <w:lastRenderedPageBreak/>
        <w:t>位、各级税务机关依法依规开展税费征收保障工作，适用本办法。</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本办法所称税费，是指依法由本市税务机关统一征收的各项税收、社会保险费和非税收入。</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第四条</w:t>
      </w:r>
      <w:r>
        <w:rPr>
          <w:rFonts w:eastAsia="仿宋_GB2312" w:hint="eastAsia"/>
          <w:szCs w:val="32"/>
        </w:rPr>
        <w:t xml:space="preserve">　税费征收保障工作应当坚持党的领导、政府统筹、税务主责、部门合作、社会协同、公众参与的原则。</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市、区人民政府应当加强</w:t>
      </w:r>
      <w:r>
        <w:rPr>
          <w:rFonts w:eastAsia="仿宋_GB2312" w:hint="eastAsia"/>
          <w:szCs w:val="32"/>
        </w:rPr>
        <w:t>税费征收保障工作的组织协调，建立健全税费征收保障工作机制，督促有关部门和单位落实税费征收保障措施，提供必要的场所和人力物力支持。</w:t>
      </w:r>
    </w:p>
    <w:p w:rsidR="00423495" w:rsidRDefault="009119B0" w:rsidP="000F7372">
      <w:pPr>
        <w:pStyle w:val="a3"/>
        <w:ind w:firstLineChars="200" w:firstLine="622"/>
        <w:rPr>
          <w:rFonts w:eastAsia="仿宋_GB2312"/>
          <w:szCs w:val="32"/>
        </w:rPr>
      </w:pPr>
      <w:r>
        <w:rPr>
          <w:rFonts w:eastAsia="仿宋_GB2312" w:hint="eastAsia"/>
          <w:szCs w:val="32"/>
        </w:rPr>
        <w:t>乡镇人民政府、街道办事处应当协助有关部门和单位做好税费征管服务、税费政策宣传、争议处理化解、信息采集等工作。</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有关部门和单位应当支持、协助税务机关依法履行职责。</w:t>
      </w:r>
    </w:p>
    <w:p w:rsidR="00423495" w:rsidRDefault="00423495">
      <w:pPr>
        <w:pStyle w:val="a3"/>
        <w:jc w:val="center"/>
        <w:rPr>
          <w:rFonts w:ascii="黑体" w:eastAsia="黑体" w:hAnsi="黑体" w:cs="黑体"/>
          <w:szCs w:val="32"/>
        </w:rPr>
      </w:pPr>
    </w:p>
    <w:p w:rsidR="00423495" w:rsidRDefault="009119B0">
      <w:pPr>
        <w:pStyle w:val="a3"/>
        <w:jc w:val="center"/>
        <w:rPr>
          <w:rFonts w:eastAsia="仿宋_GB2312"/>
          <w:szCs w:val="32"/>
        </w:rPr>
      </w:pPr>
      <w:r>
        <w:rPr>
          <w:rFonts w:ascii="黑体" w:eastAsia="黑体" w:hAnsi="黑体" w:cs="黑体" w:hint="eastAsia"/>
          <w:szCs w:val="32"/>
        </w:rPr>
        <w:t>第二章</w:t>
      </w:r>
      <w:r>
        <w:rPr>
          <w:rFonts w:eastAsia="黑体" w:cs="黑体" w:hint="eastAsia"/>
          <w:szCs w:val="32"/>
          <w:lang w:val="en"/>
        </w:rPr>
        <w:t xml:space="preserve">　</w:t>
      </w:r>
      <w:r>
        <w:rPr>
          <w:rFonts w:ascii="黑体" w:eastAsia="黑体" w:hAnsi="黑体" w:cs="黑体" w:hint="eastAsia"/>
          <w:szCs w:val="32"/>
        </w:rPr>
        <w:t>信息共享</w:t>
      </w:r>
    </w:p>
    <w:p w:rsidR="00423495" w:rsidRDefault="00423495">
      <w:pPr>
        <w:pStyle w:val="a3"/>
        <w:rPr>
          <w:rFonts w:eastAsia="仿宋_GB2312"/>
          <w:szCs w:val="32"/>
        </w:rPr>
      </w:pP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第七条</w:t>
      </w:r>
      <w:r>
        <w:rPr>
          <w:rFonts w:eastAsia="仿宋_GB2312" w:hint="eastAsia"/>
          <w:szCs w:val="32"/>
        </w:rPr>
        <w:t xml:space="preserve">　税费信息共享实行目录管理。税务机关负责组织税费信息共享目录的编制、发布和更新等工作，有关部门和单位应当积极配合。</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税费信息依托本市政务数据共享平台共享，有关部门和单位应当按照</w:t>
      </w:r>
      <w:r>
        <w:rPr>
          <w:rFonts w:eastAsia="仿宋_GB2312" w:hint="eastAsia"/>
          <w:szCs w:val="32"/>
        </w:rPr>
        <w:t>税费信息共享目录依法提供相关信息；税费信息涉及国家秘密、商业秘密和个人隐私的，按照相关法律法规执行。</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lastRenderedPageBreak/>
        <w:t>第九条</w:t>
      </w:r>
      <w:r>
        <w:rPr>
          <w:rFonts w:eastAsia="仿宋_GB2312" w:hint="eastAsia"/>
          <w:szCs w:val="32"/>
        </w:rPr>
        <w:t xml:space="preserve">　税费信息共享一般以电子数据方式进行，暂无法采取电子数据交换的，可采取介质交换、邮件交换、纸质交换等方式。</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有关部门和单位应当对提供的税费共享信息</w:t>
      </w:r>
      <w:proofErr w:type="gramStart"/>
      <w:r>
        <w:rPr>
          <w:rFonts w:eastAsia="仿宋_GB2312" w:hint="eastAsia"/>
          <w:szCs w:val="32"/>
        </w:rPr>
        <w:t>及时维护</w:t>
      </w:r>
      <w:proofErr w:type="gramEnd"/>
      <w:r>
        <w:rPr>
          <w:rFonts w:eastAsia="仿宋_GB2312" w:hint="eastAsia"/>
          <w:szCs w:val="32"/>
        </w:rPr>
        <w:t>和更新，确保信息真实、准确、完整。</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第十一条</w:t>
      </w:r>
      <w:r>
        <w:rPr>
          <w:rFonts w:eastAsia="仿宋_GB2312" w:hint="eastAsia"/>
          <w:szCs w:val="32"/>
        </w:rPr>
        <w:t xml:space="preserve">　有关部门和单位应当依法对获取的税费信息加强管理，确保信息安全，不得将税费信息用于履行法定职责之外的其他用途，不得违法向第三方披露。</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第十二条</w:t>
      </w:r>
      <w:r>
        <w:rPr>
          <w:rFonts w:eastAsia="仿宋_GB2312" w:hint="eastAsia"/>
          <w:szCs w:val="32"/>
        </w:rPr>
        <w:t xml:space="preserve">　有关部门和单位应当加强智能化大数据分析，不断强化税费信</w:t>
      </w:r>
      <w:r>
        <w:rPr>
          <w:rFonts w:eastAsia="仿宋_GB2312" w:hint="eastAsia"/>
          <w:szCs w:val="32"/>
        </w:rPr>
        <w:t>息在经济运行</w:t>
      </w:r>
      <w:proofErr w:type="gramStart"/>
      <w:r>
        <w:rPr>
          <w:rFonts w:eastAsia="仿宋_GB2312" w:hint="eastAsia"/>
          <w:szCs w:val="32"/>
        </w:rPr>
        <w:t>研</w:t>
      </w:r>
      <w:proofErr w:type="gramEnd"/>
      <w:r>
        <w:rPr>
          <w:rFonts w:eastAsia="仿宋_GB2312" w:hint="eastAsia"/>
          <w:szCs w:val="32"/>
        </w:rPr>
        <w:t>判和社会管理等领域的深层次应用。根据税费信息比对分析情况，研究制定培育和巩固税源</w:t>
      </w:r>
      <w:proofErr w:type="gramStart"/>
      <w:r>
        <w:rPr>
          <w:rFonts w:eastAsia="仿宋_GB2312" w:hint="eastAsia"/>
          <w:szCs w:val="32"/>
        </w:rPr>
        <w:t>费源基础</w:t>
      </w:r>
      <w:proofErr w:type="gramEnd"/>
      <w:r>
        <w:rPr>
          <w:rFonts w:eastAsia="仿宋_GB2312" w:hint="eastAsia"/>
          <w:szCs w:val="32"/>
        </w:rPr>
        <w:t>的支持政策，提供优化服务和强化监管的有效指引。</w:t>
      </w:r>
    </w:p>
    <w:p w:rsidR="00423495" w:rsidRDefault="00423495">
      <w:pPr>
        <w:pStyle w:val="a3"/>
        <w:rPr>
          <w:rFonts w:eastAsia="仿宋_GB2312"/>
          <w:szCs w:val="32"/>
        </w:rPr>
      </w:pPr>
    </w:p>
    <w:p w:rsidR="00423495" w:rsidRDefault="009119B0">
      <w:pPr>
        <w:pStyle w:val="a3"/>
        <w:jc w:val="center"/>
        <w:rPr>
          <w:rFonts w:eastAsia="仿宋_GB2312"/>
          <w:szCs w:val="32"/>
        </w:rPr>
      </w:pPr>
      <w:r>
        <w:rPr>
          <w:rFonts w:ascii="黑体" w:eastAsia="黑体" w:hAnsi="黑体" w:cs="黑体" w:hint="eastAsia"/>
          <w:szCs w:val="32"/>
        </w:rPr>
        <w:t>第三章</w:t>
      </w:r>
      <w:r>
        <w:rPr>
          <w:rFonts w:eastAsia="黑体" w:cs="黑体" w:hint="eastAsia"/>
          <w:szCs w:val="32"/>
          <w:lang w:val="en"/>
        </w:rPr>
        <w:t xml:space="preserve">　</w:t>
      </w:r>
      <w:r>
        <w:rPr>
          <w:rFonts w:ascii="黑体" w:eastAsia="黑体" w:hAnsi="黑体" w:cs="黑体" w:hint="eastAsia"/>
          <w:szCs w:val="32"/>
        </w:rPr>
        <w:t>税费征缴协作</w:t>
      </w:r>
    </w:p>
    <w:p w:rsidR="00423495" w:rsidRDefault="00423495">
      <w:pPr>
        <w:pStyle w:val="a3"/>
        <w:rPr>
          <w:rFonts w:eastAsia="仿宋_GB2312"/>
          <w:szCs w:val="32"/>
        </w:rPr>
      </w:pP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第十三条</w:t>
      </w:r>
      <w:r>
        <w:rPr>
          <w:rFonts w:eastAsia="仿宋_GB2312" w:hint="eastAsia"/>
          <w:szCs w:val="32"/>
        </w:rPr>
        <w:t xml:space="preserve">　有关部门和单位在履行职责过程中发现税费相关违法行为或者税费优惠对象不再符合法定优惠条件等情形的，应当及时告知税务机关。</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第十四条</w:t>
      </w:r>
      <w:r>
        <w:rPr>
          <w:rFonts w:eastAsia="仿宋_GB2312" w:hint="eastAsia"/>
          <w:szCs w:val="32"/>
        </w:rPr>
        <w:t xml:space="preserve">　个人转让股权办理变更登记的，市场监管部门应当查验与该股权交易相关的个人所得税完税凭证；经查验已经履行申报缴纳义务的，市场监管部门依法为其办理股权变更登记。</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第十五条</w:t>
      </w:r>
      <w:r>
        <w:rPr>
          <w:rFonts w:eastAsia="仿宋_GB2312" w:hint="eastAsia"/>
          <w:szCs w:val="32"/>
        </w:rPr>
        <w:t xml:space="preserve">　规划资源、生态环境、水务等有关部门和单位与</w:t>
      </w:r>
      <w:r>
        <w:rPr>
          <w:rFonts w:eastAsia="仿宋_GB2312" w:hint="eastAsia"/>
          <w:szCs w:val="32"/>
        </w:rPr>
        <w:lastRenderedPageBreak/>
        <w:t>税务机关应当建立工作配合机制，保障本市资源税、环境保护税、耕地占用税等的征收管理。</w:t>
      </w:r>
    </w:p>
    <w:p w:rsidR="00423495" w:rsidRDefault="009119B0" w:rsidP="000F7372">
      <w:pPr>
        <w:pStyle w:val="a3"/>
        <w:ind w:firstLineChars="200" w:firstLine="622"/>
        <w:rPr>
          <w:rFonts w:eastAsia="仿宋_GB2312"/>
          <w:szCs w:val="32"/>
        </w:rPr>
      </w:pPr>
      <w:r>
        <w:rPr>
          <w:rFonts w:eastAsia="仿宋_GB2312" w:hint="eastAsia"/>
          <w:szCs w:val="32"/>
        </w:rPr>
        <w:t>税务机关发现纳税人的纳税申报数据资料异常或者纳税人未按照规定期限申报纳税的，可以依法提请相关部门进行复核。</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第十六条</w:t>
      </w:r>
      <w:r>
        <w:rPr>
          <w:rFonts w:eastAsia="仿宋_GB2312" w:hint="eastAsia"/>
          <w:szCs w:val="32"/>
        </w:rPr>
        <w:t xml:space="preserve">　税务机关因确认纳税人、缴费人享受税费优惠政策条件，需要发展改革、科技、住房城乡建设、工业和信息化、规划资源、生态环境、应急等有关部门和单位协助的，有关部门和单位应当予以支持。</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第十七条</w:t>
      </w:r>
      <w:r>
        <w:rPr>
          <w:rFonts w:eastAsia="仿宋_GB2312" w:hint="eastAsia"/>
          <w:szCs w:val="32"/>
        </w:rPr>
        <w:t xml:space="preserve">　税务机关因涉税财物价格不明、有争议或者其他原因需要价格主管部门协助认定的，价格主</w:t>
      </w:r>
      <w:r>
        <w:rPr>
          <w:rFonts w:eastAsia="仿宋_GB2312" w:hint="eastAsia"/>
          <w:szCs w:val="32"/>
        </w:rPr>
        <w:t>管部门应当予以协助。</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第十八条</w:t>
      </w:r>
      <w:r>
        <w:rPr>
          <w:rFonts w:eastAsia="仿宋_GB2312" w:hint="eastAsia"/>
          <w:szCs w:val="32"/>
        </w:rPr>
        <w:t xml:space="preserve">　人社、</w:t>
      </w:r>
      <w:proofErr w:type="gramStart"/>
      <w:r>
        <w:rPr>
          <w:rFonts w:eastAsia="仿宋_GB2312" w:hint="eastAsia"/>
          <w:szCs w:val="32"/>
        </w:rPr>
        <w:t>医</w:t>
      </w:r>
      <w:proofErr w:type="gramEnd"/>
      <w:r>
        <w:rPr>
          <w:rFonts w:eastAsia="仿宋_GB2312" w:hint="eastAsia"/>
          <w:szCs w:val="32"/>
        </w:rPr>
        <w:t>保部门和税务机关要完善社会保险费征收等工作的协作机制，在跨部门业务联办、联合执法、信息化建设等方面加强协作配合。</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第十九条</w:t>
      </w:r>
      <w:r>
        <w:rPr>
          <w:rFonts w:eastAsia="仿宋_GB2312" w:hint="eastAsia"/>
          <w:szCs w:val="32"/>
        </w:rPr>
        <w:t xml:space="preserve">　非税收入划转税务机关统一征收的，相关业务主管部门应当向税务机关提供缴费项目、缴费人、计费依据、应缴金额等信息，税务机关依法办理非税收入的征收。</w:t>
      </w:r>
    </w:p>
    <w:p w:rsidR="00423495" w:rsidRDefault="009119B0" w:rsidP="000F7372">
      <w:pPr>
        <w:pStyle w:val="a3"/>
        <w:ind w:firstLineChars="200" w:firstLine="622"/>
        <w:rPr>
          <w:rFonts w:eastAsia="仿宋_GB2312"/>
          <w:szCs w:val="32"/>
        </w:rPr>
      </w:pPr>
      <w:r>
        <w:rPr>
          <w:rFonts w:eastAsia="仿宋_GB2312" w:hint="eastAsia"/>
          <w:szCs w:val="32"/>
        </w:rPr>
        <w:t>税务机关应当向财政部门报送非税收入征缴情况，并根据业务主管部门需求反馈征缴明细信息；对欠缴、少缴非税收入的，税务机关应当按规定做好催缴工作，相关业务主管部门按职责分工提供协助。</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税务机关依法查询从事生产、经营的纳税人开立账户的情况时，有关银行和其他金融机构应当予以协助。</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lastRenderedPageBreak/>
        <w:t>第二十一条</w:t>
      </w:r>
      <w:r>
        <w:rPr>
          <w:rFonts w:eastAsia="仿宋_GB2312" w:hint="eastAsia"/>
          <w:szCs w:val="32"/>
        </w:rPr>
        <w:t xml:space="preserve">　税务机关与公安机关应当健全派驻联络机制，实现税警双方案件信息互联互通和联合办案制度化、信息化、常态化。</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第二十二条</w:t>
      </w:r>
      <w:r>
        <w:rPr>
          <w:rFonts w:eastAsia="仿宋_GB2312" w:hint="eastAsia"/>
          <w:szCs w:val="32"/>
        </w:rPr>
        <w:t xml:space="preserve">　市级税务机关应当建立健全纳税人、缴费人信用信息归集、评价和发布工作机制，将归集的信用信息、产生的评价结果推送至本市信用信息共享平台，依法将相关信息向社会公开。</w:t>
      </w:r>
    </w:p>
    <w:p w:rsidR="00423495" w:rsidRDefault="009119B0" w:rsidP="000F7372">
      <w:pPr>
        <w:pStyle w:val="a3"/>
        <w:ind w:firstLineChars="200" w:firstLine="622"/>
        <w:rPr>
          <w:rFonts w:eastAsia="仿宋_GB2312"/>
          <w:szCs w:val="32"/>
        </w:rPr>
      </w:pPr>
      <w:r>
        <w:rPr>
          <w:rFonts w:eastAsia="仿宋_GB2312" w:hint="eastAsia"/>
          <w:szCs w:val="32"/>
        </w:rPr>
        <w:t>税务机关应当健全纳税人守信激励与失信惩戒工作机制，发挥纳税信用在社会信用体系建设中的基础性作用。</w:t>
      </w:r>
    </w:p>
    <w:p w:rsidR="00423495" w:rsidRDefault="00423495">
      <w:pPr>
        <w:pStyle w:val="a3"/>
        <w:jc w:val="center"/>
        <w:rPr>
          <w:rFonts w:ascii="黑体" w:eastAsia="黑体" w:hAnsi="黑体" w:cs="黑体"/>
          <w:szCs w:val="32"/>
        </w:rPr>
      </w:pPr>
    </w:p>
    <w:p w:rsidR="00423495" w:rsidRDefault="009119B0">
      <w:pPr>
        <w:pStyle w:val="a3"/>
        <w:jc w:val="center"/>
        <w:rPr>
          <w:rFonts w:eastAsia="仿宋_GB2312"/>
          <w:szCs w:val="32"/>
        </w:rPr>
      </w:pPr>
      <w:r>
        <w:rPr>
          <w:rFonts w:ascii="黑体" w:eastAsia="黑体" w:hAnsi="黑体" w:cs="黑体" w:hint="eastAsia"/>
          <w:szCs w:val="32"/>
        </w:rPr>
        <w:t>第四章</w:t>
      </w:r>
      <w:r>
        <w:rPr>
          <w:rFonts w:eastAsia="黑体" w:cs="黑体" w:hint="eastAsia"/>
          <w:szCs w:val="32"/>
          <w:lang w:val="en"/>
        </w:rPr>
        <w:t xml:space="preserve">　</w:t>
      </w:r>
      <w:r>
        <w:rPr>
          <w:rFonts w:ascii="黑体" w:eastAsia="黑体" w:hAnsi="黑体" w:cs="黑体" w:hint="eastAsia"/>
          <w:szCs w:val="32"/>
        </w:rPr>
        <w:t>税费服务支持</w:t>
      </w:r>
    </w:p>
    <w:p w:rsidR="00423495" w:rsidRDefault="00423495">
      <w:pPr>
        <w:pStyle w:val="a3"/>
        <w:rPr>
          <w:rFonts w:eastAsia="仿宋_GB2312"/>
          <w:szCs w:val="32"/>
        </w:rPr>
      </w:pP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第二</w:t>
      </w:r>
      <w:r>
        <w:rPr>
          <w:rFonts w:ascii="黑体" w:eastAsia="黑体" w:hAnsi="黑体" w:cs="黑体" w:hint="eastAsia"/>
          <w:szCs w:val="32"/>
        </w:rPr>
        <w:t>十三条</w:t>
      </w:r>
      <w:r>
        <w:rPr>
          <w:rFonts w:eastAsia="仿宋_GB2312" w:hint="eastAsia"/>
          <w:szCs w:val="32"/>
        </w:rPr>
        <w:t xml:space="preserve">　有关部门和单位应当健全本市纳税缴费服务热线和政务服务便民热线相关工作机制，为纳税人、缴费人提供便捷、高效服务。</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第二十四条</w:t>
      </w:r>
      <w:r>
        <w:rPr>
          <w:rFonts w:eastAsia="仿宋_GB2312" w:hint="eastAsia"/>
          <w:szCs w:val="32"/>
        </w:rPr>
        <w:t xml:space="preserve">　税务机关应当进一步完善税务政府信息公开制度，公开税费政策、纳税缴费流程、服务规范和权利救济等事项。</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第二十五条</w:t>
      </w:r>
      <w:r>
        <w:rPr>
          <w:rFonts w:eastAsia="仿宋_GB2312" w:hint="eastAsia"/>
          <w:szCs w:val="32"/>
        </w:rPr>
        <w:t xml:space="preserve">　税务机关应当引导涉税专业服务机构按照市场化原则为纳税人、缴费人规范提供精细化、便捷化、个性化服务。</w:t>
      </w:r>
    </w:p>
    <w:p w:rsidR="00423495" w:rsidRDefault="00423495">
      <w:pPr>
        <w:pStyle w:val="a3"/>
        <w:jc w:val="center"/>
        <w:rPr>
          <w:rFonts w:ascii="黑体" w:eastAsia="黑体" w:hAnsi="黑体" w:cs="黑体"/>
          <w:szCs w:val="32"/>
        </w:rPr>
      </w:pPr>
    </w:p>
    <w:p w:rsidR="00423495" w:rsidRDefault="009119B0">
      <w:pPr>
        <w:pStyle w:val="a3"/>
        <w:jc w:val="center"/>
        <w:rPr>
          <w:rFonts w:ascii="黑体" w:eastAsia="黑体" w:hAnsi="黑体" w:cs="黑体"/>
          <w:szCs w:val="32"/>
        </w:rPr>
      </w:pPr>
      <w:r>
        <w:rPr>
          <w:rFonts w:ascii="黑体" w:eastAsia="黑体" w:hAnsi="黑体" w:cs="黑体" w:hint="eastAsia"/>
          <w:szCs w:val="32"/>
        </w:rPr>
        <w:t>第五章</w:t>
      </w:r>
      <w:r>
        <w:rPr>
          <w:rFonts w:eastAsia="黑体" w:cs="黑体" w:hint="eastAsia"/>
          <w:szCs w:val="32"/>
          <w:lang w:val="en"/>
        </w:rPr>
        <w:t xml:space="preserve">　</w:t>
      </w:r>
      <w:r>
        <w:rPr>
          <w:rFonts w:ascii="黑体" w:eastAsia="黑体" w:hAnsi="黑体" w:cs="黑体" w:hint="eastAsia"/>
          <w:szCs w:val="32"/>
        </w:rPr>
        <w:t>保障监督</w:t>
      </w:r>
    </w:p>
    <w:p w:rsidR="00423495" w:rsidRDefault="00423495">
      <w:pPr>
        <w:pStyle w:val="a3"/>
        <w:rPr>
          <w:rFonts w:eastAsia="仿宋_GB2312"/>
          <w:szCs w:val="32"/>
        </w:rPr>
      </w:pPr>
    </w:p>
    <w:p w:rsidR="00423495" w:rsidRDefault="009119B0" w:rsidP="000F7372">
      <w:pPr>
        <w:pStyle w:val="a3"/>
        <w:ind w:firstLineChars="200" w:firstLine="622"/>
        <w:rPr>
          <w:rFonts w:eastAsia="仿宋_GB2312"/>
          <w:szCs w:val="32"/>
        </w:rPr>
      </w:pPr>
      <w:r>
        <w:rPr>
          <w:rFonts w:ascii="黑体" w:eastAsia="黑体" w:hAnsi="黑体" w:cs="黑体" w:hint="eastAsia"/>
          <w:szCs w:val="32"/>
        </w:rPr>
        <w:lastRenderedPageBreak/>
        <w:t>第二十六条</w:t>
      </w:r>
      <w:r>
        <w:rPr>
          <w:rFonts w:eastAsia="仿宋_GB2312" w:hint="eastAsia"/>
          <w:szCs w:val="32"/>
        </w:rPr>
        <w:t xml:space="preserve">　任何单位和个人都有权检举违反税收法律、行政法规的行为，税务机关受理投诉、检举后应当及时调查，依法处理，同时为检举人保密。</w:t>
      </w:r>
    </w:p>
    <w:p w:rsidR="00423495" w:rsidRDefault="009119B0" w:rsidP="000F7372">
      <w:pPr>
        <w:pStyle w:val="a3"/>
        <w:ind w:firstLineChars="200" w:firstLine="622"/>
        <w:rPr>
          <w:rFonts w:eastAsia="仿宋_GB2312"/>
          <w:szCs w:val="32"/>
        </w:rPr>
      </w:pPr>
      <w:r>
        <w:rPr>
          <w:rFonts w:ascii="黑体" w:eastAsia="黑体" w:hAnsi="黑体" w:cs="黑体" w:hint="eastAsia"/>
          <w:szCs w:val="32"/>
        </w:rPr>
        <w:t>第二十七条</w:t>
      </w:r>
      <w:r>
        <w:rPr>
          <w:rFonts w:eastAsia="仿宋_GB2312" w:hint="eastAsia"/>
          <w:szCs w:val="32"/>
        </w:rPr>
        <w:t xml:space="preserve">　</w:t>
      </w:r>
      <w:r>
        <w:rPr>
          <w:rFonts w:eastAsia="仿宋_GB2312" w:hint="eastAsia"/>
          <w:szCs w:val="32"/>
        </w:rPr>
        <w:t>税务机关可以根据工作需要向市、区人民政府报告税费征收保障工作情况，全面反映有关部门和单位税费征收协助工作情况。</w:t>
      </w:r>
    </w:p>
    <w:p w:rsidR="00423495" w:rsidRDefault="00423495">
      <w:pPr>
        <w:pStyle w:val="a3"/>
        <w:rPr>
          <w:rFonts w:eastAsia="仿宋_GB2312"/>
          <w:szCs w:val="32"/>
        </w:rPr>
      </w:pPr>
    </w:p>
    <w:p w:rsidR="00423495" w:rsidRDefault="009119B0">
      <w:pPr>
        <w:pStyle w:val="a3"/>
        <w:jc w:val="center"/>
        <w:rPr>
          <w:rFonts w:eastAsia="仿宋_GB2312"/>
          <w:szCs w:val="32"/>
        </w:rPr>
      </w:pPr>
      <w:r>
        <w:rPr>
          <w:rFonts w:ascii="黑体" w:eastAsia="黑体" w:hAnsi="黑体" w:cs="黑体" w:hint="eastAsia"/>
          <w:szCs w:val="32"/>
        </w:rPr>
        <w:t>第六章</w:t>
      </w:r>
      <w:r>
        <w:rPr>
          <w:rFonts w:eastAsia="黑体" w:cs="黑体" w:hint="eastAsia"/>
          <w:szCs w:val="32"/>
          <w:lang w:val="en"/>
        </w:rPr>
        <w:t xml:space="preserve">　</w:t>
      </w:r>
      <w:r>
        <w:rPr>
          <w:rFonts w:ascii="黑体" w:eastAsia="黑体" w:hAnsi="黑体" w:cs="黑体" w:hint="eastAsia"/>
          <w:szCs w:val="32"/>
        </w:rPr>
        <w:t>附则</w:t>
      </w:r>
    </w:p>
    <w:p w:rsidR="00423495" w:rsidRDefault="00423495">
      <w:pPr>
        <w:pStyle w:val="a3"/>
        <w:rPr>
          <w:rFonts w:eastAsia="仿宋_GB2312"/>
          <w:szCs w:val="32"/>
        </w:rPr>
      </w:pPr>
    </w:p>
    <w:p w:rsidR="00423495" w:rsidRDefault="009119B0" w:rsidP="00E610A4">
      <w:pPr>
        <w:pStyle w:val="a3"/>
        <w:ind w:firstLineChars="200" w:firstLine="622"/>
        <w:rPr>
          <w:sz w:val="10"/>
          <w:szCs w:val="10"/>
        </w:rPr>
      </w:pPr>
      <w:r>
        <w:rPr>
          <w:rFonts w:ascii="黑体" w:eastAsia="黑体" w:hAnsi="黑体" w:cs="黑体" w:hint="eastAsia"/>
          <w:szCs w:val="32"/>
        </w:rPr>
        <w:t>第二十八条</w:t>
      </w:r>
      <w:r>
        <w:rPr>
          <w:rFonts w:eastAsia="仿宋_GB2312" w:hint="eastAsia"/>
          <w:szCs w:val="32"/>
        </w:rPr>
        <w:t xml:space="preserve">　本办法自印发之日起施行，有效期</w:t>
      </w:r>
      <w:r>
        <w:rPr>
          <w:rFonts w:eastAsia="仿宋_GB2312" w:hint="eastAsia"/>
          <w:szCs w:val="32"/>
        </w:rPr>
        <w:t>5</w:t>
      </w:r>
      <w:r>
        <w:rPr>
          <w:rFonts w:eastAsia="仿宋_GB2312" w:hint="eastAsia"/>
          <w:szCs w:val="32"/>
        </w:rPr>
        <w:t>年。</w:t>
      </w:r>
      <w:bookmarkStart w:id="0" w:name="_GoBack"/>
      <w:bookmarkEnd w:id="0"/>
    </w:p>
    <w:sectPr w:rsidR="00423495">
      <w:headerReference w:type="first" r:id="rId8"/>
      <w:footerReference w:type="first" r:id="rId9"/>
      <w:pgSz w:w="11907" w:h="16840"/>
      <w:pgMar w:top="2098" w:right="1474" w:bottom="1985" w:left="1588" w:header="851" w:footer="1701" w:gutter="0"/>
      <w:cols w:space="720"/>
      <w:titlePg/>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B0" w:rsidRDefault="009119B0">
      <w:r>
        <w:separator/>
      </w:r>
    </w:p>
  </w:endnote>
  <w:endnote w:type="continuationSeparator" w:id="0">
    <w:p w:rsidR="009119B0" w:rsidRDefault="0091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95" w:rsidRDefault="004234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B0" w:rsidRDefault="009119B0">
      <w:r>
        <w:separator/>
      </w:r>
    </w:p>
  </w:footnote>
  <w:footnote w:type="continuationSeparator" w:id="0">
    <w:p w:rsidR="009119B0" w:rsidRDefault="00911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95" w:rsidRDefault="00423495">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FFF1874"/>
    <w:rsid w:val="B9EAC4E9"/>
    <w:rsid w:val="BAD707A3"/>
    <w:rsid w:val="BCDE2957"/>
    <w:rsid w:val="F3FE2F7B"/>
    <w:rsid w:val="FAFEC6E1"/>
    <w:rsid w:val="FBFFFDC8"/>
    <w:rsid w:val="FFE53859"/>
    <w:rsid w:val="000007A8"/>
    <w:rsid w:val="000044C7"/>
    <w:rsid w:val="000068A5"/>
    <w:rsid w:val="0003738B"/>
    <w:rsid w:val="00071623"/>
    <w:rsid w:val="000E2D13"/>
    <w:rsid w:val="000F7372"/>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23495"/>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19B0"/>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10A4"/>
    <w:rsid w:val="00E67E23"/>
    <w:rsid w:val="00E74110"/>
    <w:rsid w:val="00EA0D44"/>
    <w:rsid w:val="00EA77DD"/>
    <w:rsid w:val="00EB3529"/>
    <w:rsid w:val="00F13242"/>
    <w:rsid w:val="00F23CEA"/>
    <w:rsid w:val="00F35D3F"/>
    <w:rsid w:val="00F410DE"/>
    <w:rsid w:val="00F61E7C"/>
    <w:rsid w:val="00FB20E7"/>
    <w:rsid w:val="3CFC0C59"/>
    <w:rsid w:val="3F5E8E5A"/>
    <w:rsid w:val="4BFC9B76"/>
    <w:rsid w:val="4FE750EF"/>
    <w:rsid w:val="7FB8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337</Words>
  <Characters>1927</Characters>
  <Application>Microsoft Office Word</Application>
  <DocSecurity>0</DocSecurity>
  <Lines>16</Lines>
  <Paragraphs>4</Paragraphs>
  <ScaleCrop>false</ScaleCrop>
  <Company>tjszf</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6</cp:revision>
  <cp:lastPrinted>2023-06-26T10:20:00Z</cp:lastPrinted>
  <dcterms:created xsi:type="dcterms:W3CDTF">2020-01-12T23:58:00Z</dcterms:created>
  <dcterms:modified xsi:type="dcterms:W3CDTF">2023-06-27T08:20:00Z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02078E7D380848D046548C64527A4A12</vt:lpwstr>
  </property>
</Properties>
</file>