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F4D" w:rsidRPr="00FA6DB5" w:rsidRDefault="00061D81">
      <w:pPr>
        <w:pStyle w:val="a3"/>
        <w:snapToGrid w:val="0"/>
        <w:jc w:val="center"/>
        <w:rPr>
          <w:rStyle w:val="ab"/>
          <w:rFonts w:ascii="方正小标宋简体" w:eastAsia="方正小标宋简体" w:hAnsi="方正小标宋_GBK" w:cs="方正小标宋_GBK" w:hint="eastAsia"/>
          <w:color w:val="auto"/>
          <w:sz w:val="44"/>
          <w:szCs w:val="44"/>
          <w:u w:val="none"/>
        </w:rPr>
      </w:pPr>
      <w:r w:rsidRPr="00FA6DB5">
        <w:rPr>
          <w:rStyle w:val="ab"/>
          <w:rFonts w:ascii="方正小标宋简体" w:eastAsia="方正小标宋简体" w:hAnsi="方正小标宋_GBK" w:cs="方正小标宋_GBK" w:hint="eastAsia"/>
          <w:color w:val="auto"/>
          <w:sz w:val="44"/>
          <w:szCs w:val="44"/>
          <w:u w:val="none"/>
        </w:rPr>
        <w:t>天津市人民政府办公厅关于</w:t>
      </w:r>
      <w:r w:rsidRPr="00FA6DB5">
        <w:rPr>
          <w:rStyle w:val="ab"/>
          <w:rFonts w:ascii="方正小标宋简体" w:eastAsia="方正小标宋简体" w:hAnsi="方正小标宋_GBK" w:cs="方正小标宋_GBK" w:hint="eastAsia"/>
          <w:color w:val="auto"/>
          <w:sz w:val="44"/>
          <w:szCs w:val="44"/>
          <w:u w:val="none"/>
        </w:rPr>
        <w:t>印发天津市基本</w:t>
      </w:r>
    </w:p>
    <w:p w:rsidR="002C2F4D" w:rsidRDefault="00061D81">
      <w:pPr>
        <w:pStyle w:val="a3"/>
        <w:snapToGrid w:val="0"/>
        <w:jc w:val="center"/>
        <w:rPr>
          <w:rStyle w:val="ab"/>
          <w:rFonts w:ascii="方正小标宋_GBK" w:eastAsia="方正小标宋_GBK" w:hAnsi="方正小标宋_GBK" w:cs="方正小标宋_GBK"/>
          <w:color w:val="auto"/>
          <w:sz w:val="44"/>
          <w:szCs w:val="44"/>
          <w:u w:val="none"/>
        </w:rPr>
      </w:pPr>
      <w:r w:rsidRPr="00FA6DB5">
        <w:rPr>
          <w:rStyle w:val="ab"/>
          <w:rFonts w:ascii="方正小标宋简体" w:eastAsia="方正小标宋简体" w:hAnsi="方正小标宋_GBK" w:cs="方正小标宋_GBK" w:hint="eastAsia"/>
          <w:color w:val="auto"/>
          <w:sz w:val="44"/>
          <w:szCs w:val="44"/>
          <w:u w:val="none"/>
        </w:rPr>
        <w:t>公共服务标准体系建设“十四五”规划</w:t>
      </w:r>
      <w:r w:rsidRPr="00FA6DB5">
        <w:rPr>
          <w:rStyle w:val="ab"/>
          <w:rFonts w:ascii="方正小标宋简体" w:eastAsia="方正小标宋简体" w:hAnsi="方正小标宋_GBK" w:cs="方正小标宋_GBK" w:hint="eastAsia"/>
          <w:color w:val="auto"/>
          <w:sz w:val="44"/>
          <w:szCs w:val="44"/>
          <w:u w:val="none"/>
        </w:rPr>
        <w:t>的通知</w:t>
      </w:r>
    </w:p>
    <w:p w:rsidR="002C2F4D" w:rsidRDefault="002C2F4D">
      <w:pPr>
        <w:pStyle w:val="a3"/>
        <w:rPr>
          <w:rFonts w:ascii="仿宋_GB2312" w:eastAsia="仿宋_GB2312" w:hAnsi="仿宋_GB2312" w:cs="仿宋_GB2312"/>
          <w:szCs w:val="32"/>
        </w:rPr>
      </w:pPr>
    </w:p>
    <w:p w:rsidR="002C2F4D" w:rsidRDefault="00061D81">
      <w:pPr>
        <w:pStyle w:val="a3"/>
        <w:rPr>
          <w:rFonts w:ascii="仿宋_GB2312" w:eastAsia="仿宋_GB2312"/>
        </w:rPr>
      </w:pPr>
      <w:r>
        <w:rPr>
          <w:rFonts w:ascii="仿宋_GB2312" w:eastAsia="仿宋_GB2312" w:hint="eastAsia"/>
        </w:rPr>
        <w:t>各区人民政府，市政府各委、办、局：</w:t>
      </w:r>
    </w:p>
    <w:p w:rsidR="002C2F4D" w:rsidRDefault="00061D81" w:rsidP="00FA6DB5">
      <w:pPr>
        <w:pStyle w:val="a3"/>
        <w:ind w:firstLineChars="196" w:firstLine="610"/>
        <w:rPr>
          <w:rFonts w:eastAsia="仿宋_GB2312"/>
          <w:szCs w:val="32"/>
        </w:rPr>
      </w:pPr>
      <w:r>
        <w:rPr>
          <w:rFonts w:eastAsia="仿宋_GB2312" w:hint="eastAsia"/>
          <w:szCs w:val="32"/>
        </w:rPr>
        <w:t>经市人民政府同意，现将《天津市基本公共服务标准体系建设“十四五”规划》印发给你们，请照此执行。</w:t>
      </w:r>
    </w:p>
    <w:p w:rsidR="002C2F4D" w:rsidRDefault="002C2F4D">
      <w:pPr>
        <w:pStyle w:val="a3"/>
        <w:rPr>
          <w:rFonts w:eastAsia="仿宋_GB2312"/>
          <w:szCs w:val="32"/>
        </w:rPr>
      </w:pPr>
    </w:p>
    <w:p w:rsidR="002C2F4D" w:rsidRDefault="00FA6DB5" w:rsidP="00FA6DB5">
      <w:pPr>
        <w:pStyle w:val="a3"/>
        <w:ind w:firstLineChars="900" w:firstLine="2799"/>
        <w:rPr>
          <w:rFonts w:eastAsia="仿宋_GB2312"/>
          <w:szCs w:val="32"/>
        </w:rPr>
      </w:pPr>
      <w:r w:rsidRPr="00FA6DB5">
        <w:rPr>
          <w:rFonts w:eastAsia="仿宋_GB2312" w:hint="eastAsia"/>
          <w:szCs w:val="32"/>
        </w:rPr>
        <w:t>天津市人民政府办公厅</w:t>
      </w:r>
    </w:p>
    <w:p w:rsidR="002C2F4D" w:rsidRDefault="00061D81" w:rsidP="00FA6DB5">
      <w:pPr>
        <w:pStyle w:val="a3"/>
        <w:spacing w:line="320" w:lineRule="exact"/>
        <w:ind w:firstLineChars="1000" w:firstLine="3110"/>
        <w:rPr>
          <w:rFonts w:eastAsia="仿宋_GB2312"/>
          <w:szCs w:val="32"/>
        </w:rPr>
      </w:pPr>
      <w:r>
        <w:rPr>
          <w:rFonts w:eastAsia="仿宋_GB2312" w:hint="eastAsia"/>
          <w:szCs w:val="32"/>
        </w:rPr>
        <w:t>202</w:t>
      </w:r>
      <w:r>
        <w:rPr>
          <w:rFonts w:eastAsia="仿宋_GB2312"/>
          <w:szCs w:val="32"/>
          <w:lang w:val="en"/>
        </w:rPr>
        <w:t>1</w:t>
      </w:r>
      <w:r>
        <w:rPr>
          <w:rFonts w:eastAsia="仿宋_GB2312" w:hint="eastAsia"/>
          <w:szCs w:val="32"/>
        </w:rPr>
        <w:t>年</w:t>
      </w:r>
      <w:r>
        <w:rPr>
          <w:rFonts w:eastAsia="仿宋_GB2312"/>
          <w:szCs w:val="32"/>
        </w:rPr>
        <w:t>12</w:t>
      </w:r>
      <w:r>
        <w:rPr>
          <w:rFonts w:eastAsia="仿宋_GB2312" w:hint="eastAsia"/>
          <w:szCs w:val="32"/>
        </w:rPr>
        <w:t>月</w:t>
      </w:r>
      <w:r>
        <w:rPr>
          <w:rFonts w:eastAsia="仿宋_GB2312"/>
          <w:szCs w:val="32"/>
        </w:rPr>
        <w:t>6</w:t>
      </w:r>
      <w:r>
        <w:rPr>
          <w:rFonts w:eastAsia="仿宋_GB2312" w:hint="eastAsia"/>
          <w:szCs w:val="32"/>
        </w:rPr>
        <w:t>日</w:t>
      </w:r>
      <w:r>
        <w:rPr>
          <w:rFonts w:eastAsia="仿宋_GB2312" w:hint="eastAsia"/>
          <w:szCs w:val="32"/>
        </w:rPr>
        <w:t xml:space="preserve">        </w:t>
      </w:r>
    </w:p>
    <w:p w:rsidR="002C2F4D" w:rsidRDefault="00061D81">
      <w:pPr>
        <w:pStyle w:val="a3"/>
        <w:spacing w:line="320" w:lineRule="exact"/>
        <w:rPr>
          <w:rFonts w:eastAsia="仿宋_GB2312"/>
          <w:szCs w:val="32"/>
        </w:rPr>
      </w:pPr>
      <w:r>
        <w:rPr>
          <w:rFonts w:eastAsia="仿宋_GB2312" w:hint="eastAsia"/>
          <w:szCs w:val="32"/>
        </w:rPr>
        <w:t xml:space="preserve">    </w:t>
      </w:r>
      <w:r>
        <w:rPr>
          <w:rFonts w:eastAsia="仿宋_GB2312" w:hint="eastAsia"/>
          <w:szCs w:val="32"/>
        </w:rPr>
        <w:t>（此件主动公开）</w:t>
      </w:r>
    </w:p>
    <w:p w:rsidR="002C2F4D" w:rsidRDefault="002C2F4D">
      <w:pPr>
        <w:pStyle w:val="a3"/>
        <w:rPr>
          <w:rFonts w:eastAsia="仿宋_GB2312"/>
          <w:szCs w:val="32"/>
        </w:rPr>
        <w:sectPr w:rsidR="002C2F4D">
          <w:headerReference w:type="default" r:id="rId9"/>
          <w:footerReference w:type="even" r:id="rId10"/>
          <w:footerReference w:type="default" r:id="rId11"/>
          <w:headerReference w:type="first" r:id="rId12"/>
          <w:pgSz w:w="11907" w:h="16840"/>
          <w:pgMar w:top="2098" w:right="1474" w:bottom="1985" w:left="1588" w:header="851" w:footer="1701" w:gutter="0"/>
          <w:cols w:space="720"/>
          <w:docGrid w:type="linesAndChars" w:linePitch="289" w:charSpace="-1839"/>
        </w:sectPr>
      </w:pPr>
    </w:p>
    <w:p w:rsidR="002C2F4D" w:rsidRPr="00FA6DB5" w:rsidRDefault="00061D81">
      <w:pPr>
        <w:adjustRightInd w:val="0"/>
        <w:snapToGrid w:val="0"/>
        <w:jc w:val="center"/>
        <w:rPr>
          <w:rFonts w:ascii="方正小标宋简体" w:eastAsia="方正小标宋简体" w:hAnsi="方正小标宋_GBK" w:cs="方正小标宋_GBK" w:hint="eastAsia"/>
          <w:sz w:val="44"/>
          <w:szCs w:val="44"/>
        </w:rPr>
      </w:pPr>
      <w:r w:rsidRPr="00FA6DB5">
        <w:rPr>
          <w:rFonts w:ascii="方正小标宋简体" w:eastAsia="方正小标宋简体" w:hAnsi="方正小标宋_GBK" w:cs="方正小标宋_GBK" w:hint="eastAsia"/>
          <w:sz w:val="44"/>
          <w:szCs w:val="44"/>
        </w:rPr>
        <w:lastRenderedPageBreak/>
        <w:t>天津市基本公共服务</w:t>
      </w:r>
    </w:p>
    <w:p w:rsidR="002C2F4D" w:rsidRDefault="00061D81">
      <w:pPr>
        <w:adjustRightInd w:val="0"/>
        <w:snapToGrid w:val="0"/>
        <w:jc w:val="center"/>
        <w:rPr>
          <w:rFonts w:ascii="方正小标宋_GBK" w:eastAsia="方正小标宋_GBK" w:hAnsi="方正小标宋_GBK" w:cs="方正小标宋_GBK"/>
          <w:b/>
          <w:sz w:val="44"/>
          <w:szCs w:val="44"/>
        </w:rPr>
      </w:pPr>
      <w:r w:rsidRPr="00FA6DB5">
        <w:rPr>
          <w:rFonts w:ascii="方正小标宋简体" w:eastAsia="方正小标宋简体" w:hAnsi="方正小标宋_GBK" w:cs="方正小标宋_GBK" w:hint="eastAsia"/>
          <w:sz w:val="44"/>
          <w:szCs w:val="44"/>
        </w:rPr>
        <w:t>标准体系建设“十四五”规划</w:t>
      </w:r>
      <w:bookmarkStart w:id="0" w:name="_GoBack"/>
      <w:bookmarkEnd w:id="0"/>
    </w:p>
    <w:p w:rsidR="002C2F4D" w:rsidRDefault="002C2F4D">
      <w:pPr>
        <w:adjustRightInd w:val="0"/>
        <w:snapToGrid w:val="0"/>
        <w:jc w:val="center"/>
        <w:rPr>
          <w:sz w:val="32"/>
          <w:szCs w:val="32"/>
        </w:rPr>
      </w:pPr>
    </w:p>
    <w:p w:rsidR="002C2F4D" w:rsidRDefault="00061D81">
      <w:pPr>
        <w:adjustRightInd w:val="0"/>
        <w:jc w:val="center"/>
        <w:rPr>
          <w:rFonts w:ascii="方正小标宋_GBK" w:eastAsia="方正小标宋_GBK" w:hAnsi="方正小标宋_GBK" w:cs="方正小标宋_GBK"/>
          <w:sz w:val="32"/>
          <w:szCs w:val="32"/>
        </w:rPr>
      </w:pPr>
      <w:r>
        <w:rPr>
          <w:rFonts w:ascii="方正小标宋_GBK" w:eastAsia="方正小标宋_GBK" w:hAnsi="方正小标宋_GBK" w:cs="方正小标宋_GBK" w:hint="eastAsia"/>
          <w:sz w:val="32"/>
          <w:szCs w:val="32"/>
        </w:rPr>
        <w:t>序言</w:t>
      </w:r>
    </w:p>
    <w:p w:rsidR="002C2F4D" w:rsidRDefault="002C2F4D">
      <w:pPr>
        <w:adjustRightInd w:val="0"/>
        <w:rPr>
          <w:rFonts w:eastAsia="仿宋_GB2312"/>
          <w:sz w:val="32"/>
          <w:szCs w:val="32"/>
        </w:rPr>
      </w:pPr>
    </w:p>
    <w:p w:rsidR="002C2F4D" w:rsidRDefault="00061D81" w:rsidP="00FA6DB5">
      <w:pPr>
        <w:adjustRightInd w:val="0"/>
        <w:ind w:firstLineChars="200" w:firstLine="622"/>
        <w:rPr>
          <w:rFonts w:eastAsia="仿宋_GB2312"/>
          <w:sz w:val="32"/>
          <w:szCs w:val="32"/>
        </w:rPr>
      </w:pPr>
      <w:r>
        <w:rPr>
          <w:rFonts w:eastAsia="仿宋_GB2312" w:hint="eastAsia"/>
          <w:sz w:val="32"/>
          <w:szCs w:val="32"/>
        </w:rPr>
        <w:t>“十四五”时期（</w:t>
      </w:r>
      <w:r>
        <w:rPr>
          <w:rFonts w:eastAsia="仿宋_GB2312" w:hint="eastAsia"/>
          <w:sz w:val="32"/>
          <w:szCs w:val="32"/>
        </w:rPr>
        <w:t>2021</w:t>
      </w:r>
      <w:r>
        <w:rPr>
          <w:rFonts w:eastAsia="仿宋_GB2312" w:hint="eastAsia"/>
          <w:sz w:val="32"/>
          <w:szCs w:val="32"/>
        </w:rPr>
        <w:t>—</w:t>
      </w:r>
      <w:r>
        <w:rPr>
          <w:rFonts w:eastAsia="仿宋_GB2312" w:hint="eastAsia"/>
          <w:sz w:val="32"/>
          <w:szCs w:val="32"/>
        </w:rPr>
        <w:t>2025</w:t>
      </w:r>
      <w:r>
        <w:rPr>
          <w:rFonts w:eastAsia="仿宋_GB2312" w:hint="eastAsia"/>
          <w:sz w:val="32"/>
          <w:szCs w:val="32"/>
        </w:rPr>
        <w:t>年），是天津在全面建成高质量小康社会基础上，开启全面建设社会主义现代化大都市新征程的第一个五年，是推动高质量发展、构建新发展格局的关键时期。以国家基本公共服务标准为基础，建立健全本市基本公共服务标准体系，明确提供基本公共服务的质量水平和支出责任，以标准化促进基本公共服务均等化、普惠化、便捷化，是全面建设服务型政府的必然要求，对于不断满足人民日益增长的美好生活需要、不断促进社会公平正义、不断增进全市人民在共建共享发展中的获得感，具有重要意义。</w:t>
      </w:r>
    </w:p>
    <w:p w:rsidR="002C2F4D" w:rsidRDefault="00061D81" w:rsidP="00FA6DB5">
      <w:pPr>
        <w:adjustRightInd w:val="0"/>
        <w:ind w:firstLineChars="200" w:firstLine="622"/>
        <w:rPr>
          <w:rFonts w:eastAsia="仿宋_GB2312"/>
          <w:sz w:val="32"/>
          <w:szCs w:val="32"/>
        </w:rPr>
      </w:pPr>
      <w:r>
        <w:rPr>
          <w:rFonts w:eastAsia="仿宋_GB2312" w:hint="eastAsia"/>
          <w:sz w:val="32"/>
          <w:szCs w:val="32"/>
        </w:rPr>
        <w:t>基本公共服务是由政府主导、保障全</w:t>
      </w:r>
      <w:r>
        <w:rPr>
          <w:rFonts w:eastAsia="仿宋_GB2312" w:hint="eastAsia"/>
          <w:sz w:val="32"/>
          <w:szCs w:val="32"/>
        </w:rPr>
        <w:t>体公民生存和发展基本需要、与经济社会发展水平相适应的公共服务，政府承担兜底保障的主体责任。党的十九届四中全会明确提出，必须健全幼有所育、学有所教、劳有所得、病有所医、老有所养、住有所居、弱有所扶等方面国家基本公共服务制度体系。根据国务院有关文件规定，基本公共教育、基本劳动就业创业、基本社会保险、基本医疗卫生、基本社会服务、基本住房保障、基本公共文化体育、残疾人基本公共服务等为基本公共服务主要领域，建立基本公共服务清单制，以国家基本公共服务清单为基础制定实施国家基本公共服务标准。</w:t>
      </w:r>
    </w:p>
    <w:p w:rsidR="002C2F4D" w:rsidRDefault="00061D81" w:rsidP="00FA6DB5">
      <w:pPr>
        <w:adjustRightInd w:val="0"/>
        <w:ind w:firstLineChars="200" w:firstLine="622"/>
        <w:rPr>
          <w:rFonts w:eastAsia="仿宋_GB2312"/>
          <w:sz w:val="32"/>
          <w:szCs w:val="32"/>
        </w:rPr>
      </w:pPr>
      <w:r>
        <w:rPr>
          <w:rFonts w:eastAsia="仿宋_GB2312" w:hint="eastAsia"/>
          <w:sz w:val="32"/>
          <w:szCs w:val="32"/>
        </w:rPr>
        <w:t>“十四五”时期，以国家基本公</w:t>
      </w:r>
      <w:r>
        <w:rPr>
          <w:rFonts w:eastAsia="仿宋_GB2312" w:hint="eastAsia"/>
          <w:sz w:val="32"/>
          <w:szCs w:val="32"/>
        </w:rPr>
        <w:t>共服务标准体系为依据，按照“幼有所育、学有所教、劳有所得、病有所医、老有所养、住有所居、弱有所扶”的要求，本市基本公共服务包括基本公共教育、就业与社会保障、基本社会服务、基本健康服务、基本住房保障、基本公共文化体育和残疾人基本公共服务等七个领域，同时对“十四五”时期全市基本公共服务标准体系建设作出总体安排，主要阐明基本公共服务的发展目标、重点任务、基本标准和保障措施，是“十四五”时期本市构建基本公共服务标准体系的综合性、基础性、指导性文件，是本市各级人民政府履行保障人人享有基本公共服务职责和公民享有相应权利</w:t>
      </w:r>
      <w:r>
        <w:rPr>
          <w:rFonts w:eastAsia="仿宋_GB2312" w:hint="eastAsia"/>
          <w:sz w:val="32"/>
          <w:szCs w:val="32"/>
        </w:rPr>
        <w:t>的重要依据。</w:t>
      </w:r>
    </w:p>
    <w:p w:rsidR="002C2F4D" w:rsidRDefault="002C2F4D" w:rsidP="00FA6DB5">
      <w:pPr>
        <w:adjustRightInd w:val="0"/>
        <w:ind w:firstLineChars="200" w:firstLine="622"/>
        <w:rPr>
          <w:rFonts w:eastAsia="仿宋_GB2312"/>
          <w:sz w:val="32"/>
          <w:szCs w:val="32"/>
        </w:rPr>
      </w:pPr>
    </w:p>
    <w:p w:rsidR="002C2F4D" w:rsidRDefault="00061D81">
      <w:pPr>
        <w:adjustRightInd w:val="0"/>
        <w:jc w:val="center"/>
        <w:rPr>
          <w:rFonts w:ascii="方正小标宋_GBK" w:eastAsia="方正小标宋_GBK" w:hAnsi="方正小标宋_GBK" w:cs="方正小标宋_GBK"/>
          <w:kern w:val="0"/>
          <w:sz w:val="32"/>
          <w:szCs w:val="32"/>
        </w:rPr>
      </w:pPr>
      <w:bookmarkStart w:id="1" w:name="_Toc65837379"/>
      <w:r>
        <w:rPr>
          <w:rFonts w:ascii="方正小标宋_GBK" w:eastAsia="方正小标宋_GBK" w:hAnsi="方正小标宋_GBK" w:cs="方正小标宋_GBK" w:hint="eastAsia"/>
          <w:kern w:val="0"/>
          <w:sz w:val="32"/>
          <w:szCs w:val="32"/>
        </w:rPr>
        <w:t>第一章</w:t>
      </w:r>
      <w:r>
        <w:rPr>
          <w:rFonts w:ascii="方正小标宋_GBK" w:eastAsia="方正小标宋_GBK" w:hAnsi="方正小标宋_GBK" w:cs="方正小标宋_GBK" w:hint="eastAsia"/>
          <w:kern w:val="0"/>
          <w:sz w:val="32"/>
          <w:szCs w:val="32"/>
        </w:rPr>
        <w:t xml:space="preserve">  </w:t>
      </w:r>
      <w:r>
        <w:rPr>
          <w:rFonts w:ascii="方正小标宋_GBK" w:eastAsia="方正小标宋_GBK" w:hAnsi="方正小标宋_GBK" w:cs="方正小标宋_GBK" w:hint="eastAsia"/>
          <w:kern w:val="0"/>
          <w:sz w:val="32"/>
          <w:szCs w:val="32"/>
        </w:rPr>
        <w:t>发展基础与环境</w:t>
      </w:r>
      <w:bookmarkEnd w:id="1"/>
    </w:p>
    <w:p w:rsidR="002C2F4D" w:rsidRDefault="002C2F4D">
      <w:pPr>
        <w:pStyle w:val="3"/>
        <w:keepNext w:val="0"/>
        <w:keepLines w:val="0"/>
        <w:adjustRightInd w:val="0"/>
        <w:spacing w:before="0" w:after="0" w:line="240" w:lineRule="auto"/>
        <w:jc w:val="center"/>
      </w:pPr>
      <w:bookmarkStart w:id="2" w:name="_Toc65837380"/>
    </w:p>
    <w:p w:rsidR="002C2F4D" w:rsidRDefault="00061D81">
      <w:pPr>
        <w:pStyle w:val="3"/>
        <w:keepNext w:val="0"/>
        <w:keepLines w:val="0"/>
        <w:adjustRightInd w:val="0"/>
        <w:spacing w:before="0" w:after="0" w:line="240" w:lineRule="auto"/>
        <w:jc w:val="center"/>
        <w:rPr>
          <w:rFonts w:ascii="黑体" w:eastAsia="黑体" w:hAnsi="黑体" w:cs="黑体"/>
          <w:b w:val="0"/>
          <w:bCs w:val="0"/>
        </w:rPr>
      </w:pPr>
      <w:r>
        <w:rPr>
          <w:rFonts w:ascii="黑体" w:eastAsia="黑体" w:hAnsi="黑体" w:cs="黑体" w:hint="eastAsia"/>
          <w:b w:val="0"/>
          <w:bCs w:val="0"/>
        </w:rPr>
        <w:t>第一节</w:t>
      </w:r>
      <w:r>
        <w:rPr>
          <w:rFonts w:ascii="黑体" w:eastAsia="黑体" w:hAnsi="黑体" w:cs="黑体" w:hint="eastAsia"/>
          <w:b w:val="0"/>
          <w:bCs w:val="0"/>
        </w:rPr>
        <w:t xml:space="preserve">  </w:t>
      </w:r>
      <w:r>
        <w:rPr>
          <w:rFonts w:ascii="黑体" w:eastAsia="黑体" w:hAnsi="黑体" w:cs="黑体" w:hint="eastAsia"/>
          <w:b w:val="0"/>
          <w:bCs w:val="0"/>
        </w:rPr>
        <w:t>基础条件</w:t>
      </w:r>
      <w:bookmarkEnd w:id="2"/>
    </w:p>
    <w:p w:rsidR="002C2F4D" w:rsidRDefault="002C2F4D">
      <w:pPr>
        <w:rPr>
          <w:sz w:val="32"/>
          <w:szCs w:val="32"/>
        </w:rPr>
      </w:pPr>
    </w:p>
    <w:p w:rsidR="002C2F4D" w:rsidRDefault="00061D81" w:rsidP="00FA6DB5">
      <w:pPr>
        <w:adjustRightInd w:val="0"/>
        <w:ind w:firstLineChars="200" w:firstLine="622"/>
        <w:rPr>
          <w:rFonts w:ascii="仿宋_GB2312" w:eastAsia="仿宋_GB2312" w:hAnsi="仿宋" w:cs="仿宋"/>
          <w:sz w:val="32"/>
          <w:szCs w:val="32"/>
        </w:rPr>
      </w:pPr>
      <w:r>
        <w:rPr>
          <w:rFonts w:ascii="仿宋_GB2312" w:eastAsia="仿宋_GB2312" w:hAnsi="仿宋" w:cs="仿宋"/>
          <w:sz w:val="32"/>
          <w:szCs w:val="32"/>
        </w:rPr>
        <w:t>“</w:t>
      </w:r>
      <w:r>
        <w:rPr>
          <w:rFonts w:ascii="仿宋_GB2312" w:eastAsia="仿宋_GB2312" w:hAnsi="仿宋" w:cs="仿宋" w:hint="eastAsia"/>
          <w:sz w:val="32"/>
          <w:szCs w:val="32"/>
        </w:rPr>
        <w:t>十三五”以来，市委、市政府以增进人民福祉为出发点和落脚点，全面实施应用基本公共服务标准清单，出台《天津市基本公共服务保障地区标准备案暂行办法》，明确“量力而行、尽力而为”原则，从严管控提标扩围事项，确保保障标准合理适度和民生政策可持续，惠民服务水平有效提升，城乡、区域、人群间的服务水平差距显著缩小，供给方式不断创新，服务模式持续丰富，各领域的重点任务和保障工程按期完成，为“十四五”时期推进基本公共服务标准体系建设打下坚实基础。</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教育普惠水平</w:t>
      </w:r>
      <w:r>
        <w:rPr>
          <w:rFonts w:ascii="楷体_GB2312" w:eastAsia="楷体_GB2312" w:hAnsi="楷体_GB2312" w:cs="楷体_GB2312" w:hint="eastAsia"/>
          <w:sz w:val="32"/>
          <w:szCs w:val="32"/>
        </w:rPr>
        <w:t>明显提升。</w:t>
      </w:r>
      <w:r>
        <w:rPr>
          <w:rFonts w:ascii="仿宋_GB2312" w:eastAsia="仿宋_GB2312" w:hAnsi="仿宋" w:cs="仿宋" w:hint="eastAsia"/>
          <w:sz w:val="32"/>
          <w:szCs w:val="32"/>
        </w:rPr>
        <w:t>多渠道扩大学前教育资源，累计新增幼儿园学位</w:t>
      </w:r>
      <w:r>
        <w:rPr>
          <w:rFonts w:eastAsia="仿宋_GB2312"/>
          <w:sz w:val="32"/>
          <w:szCs w:val="32"/>
        </w:rPr>
        <w:t>16</w:t>
      </w:r>
      <w:r>
        <w:rPr>
          <w:rFonts w:ascii="仿宋_GB2312" w:eastAsia="仿宋_GB2312" w:hAnsi="仿宋" w:cs="仿宋" w:hint="eastAsia"/>
          <w:sz w:val="32"/>
          <w:szCs w:val="32"/>
        </w:rPr>
        <w:t>万个，“无证园”全部清零，实现幼儿园三级视频监控全覆盖。全面实现义务教育免试就近入学。建设</w:t>
      </w:r>
      <w:r>
        <w:rPr>
          <w:rFonts w:eastAsia="仿宋_GB2312"/>
          <w:sz w:val="32"/>
          <w:szCs w:val="32"/>
        </w:rPr>
        <w:t>50</w:t>
      </w:r>
      <w:r>
        <w:rPr>
          <w:rFonts w:ascii="仿宋_GB2312" w:eastAsia="仿宋_GB2312" w:hAnsi="仿宋" w:cs="仿宋" w:hint="eastAsia"/>
          <w:sz w:val="32"/>
          <w:szCs w:val="32"/>
        </w:rPr>
        <w:t>所特色普通高中和</w:t>
      </w:r>
      <w:r>
        <w:rPr>
          <w:rFonts w:eastAsia="仿宋_GB2312"/>
          <w:sz w:val="32"/>
          <w:szCs w:val="32"/>
        </w:rPr>
        <w:t>54</w:t>
      </w:r>
      <w:r>
        <w:rPr>
          <w:rFonts w:ascii="仿宋_GB2312" w:eastAsia="仿宋_GB2312" w:hAnsi="仿宋" w:cs="仿宋" w:hint="eastAsia"/>
          <w:sz w:val="32"/>
          <w:szCs w:val="32"/>
        </w:rPr>
        <w:t>个学科特色课程基地。出台考试招生制度改革实施方案，成为全国第二批高考改革试点省市。出台高中阶段学校考试招生制度改革实施意见和高职院校分类考试招生实施办法。出台鼓励社会力量兴办教育促进民办教育健康发展实施意见，推进民办学校分类管理改革。入选国家首批“三全育人”综合改革试点单位名单。</w:t>
      </w:r>
    </w:p>
    <w:p w:rsidR="002C2F4D" w:rsidRDefault="00061D81" w:rsidP="00FA6DB5">
      <w:pPr>
        <w:adjustRightInd w:val="0"/>
        <w:ind w:firstLineChars="200" w:firstLine="622"/>
        <w:rPr>
          <w:rFonts w:eastAsia="仿宋_GB2312"/>
          <w:sz w:val="32"/>
          <w:szCs w:val="32"/>
        </w:rPr>
      </w:pPr>
      <w:r>
        <w:rPr>
          <w:rFonts w:ascii="楷体_GB2312" w:eastAsia="楷体_GB2312" w:hAnsi="楷体_GB2312" w:cs="楷体_GB2312" w:hint="eastAsia"/>
          <w:sz w:val="32"/>
          <w:szCs w:val="32"/>
        </w:rPr>
        <w:t>就业优先政策全面强化。</w:t>
      </w:r>
      <w:r>
        <w:rPr>
          <w:rFonts w:ascii="仿宋_GB2312" w:eastAsia="仿宋_GB2312" w:hAnsi="仿宋" w:cs="仿宋" w:hint="eastAsia"/>
          <w:sz w:val="32"/>
          <w:szCs w:val="32"/>
        </w:rPr>
        <w:t>累计新就业</w:t>
      </w:r>
      <w:r>
        <w:rPr>
          <w:rFonts w:eastAsia="仿宋_GB2312"/>
          <w:sz w:val="32"/>
          <w:szCs w:val="32"/>
        </w:rPr>
        <w:t>247</w:t>
      </w:r>
      <w:r>
        <w:rPr>
          <w:rFonts w:eastAsia="仿宋_GB2312" w:hint="eastAsia"/>
          <w:sz w:val="32"/>
          <w:szCs w:val="32"/>
        </w:rPr>
        <w:t>万</w:t>
      </w:r>
      <w:r>
        <w:rPr>
          <w:rFonts w:ascii="仿宋_GB2312" w:eastAsia="仿宋_GB2312" w:hAnsi="仿宋" w:cs="仿宋" w:hint="eastAsia"/>
          <w:sz w:val="32"/>
          <w:szCs w:val="32"/>
        </w:rPr>
        <w:t>人，城镇调查失业</w:t>
      </w:r>
      <w:r>
        <w:rPr>
          <w:rFonts w:eastAsia="仿宋_GB2312" w:hint="eastAsia"/>
          <w:sz w:val="32"/>
          <w:szCs w:val="32"/>
        </w:rPr>
        <w:t>率控</w:t>
      </w:r>
      <w:r>
        <w:rPr>
          <w:rFonts w:eastAsia="仿宋_GB2312" w:hint="eastAsia"/>
          <w:sz w:val="32"/>
          <w:szCs w:val="32"/>
        </w:rPr>
        <w:t>制在</w:t>
      </w:r>
      <w:r>
        <w:rPr>
          <w:rFonts w:eastAsia="仿宋_GB2312"/>
          <w:sz w:val="32"/>
          <w:szCs w:val="32"/>
        </w:rPr>
        <w:t>5.5%</w:t>
      </w:r>
      <w:r>
        <w:rPr>
          <w:rFonts w:eastAsia="仿宋_GB2312" w:hint="eastAsia"/>
          <w:sz w:val="32"/>
          <w:szCs w:val="32"/>
        </w:rPr>
        <w:t>左右。在全市</w:t>
      </w:r>
      <w:r>
        <w:rPr>
          <w:rFonts w:eastAsia="仿宋_GB2312"/>
          <w:sz w:val="32"/>
          <w:szCs w:val="32"/>
        </w:rPr>
        <w:t>16</w:t>
      </w:r>
      <w:r>
        <w:rPr>
          <w:rFonts w:eastAsia="仿宋_GB2312" w:hint="eastAsia"/>
          <w:sz w:val="32"/>
          <w:szCs w:val="32"/>
        </w:rPr>
        <w:t>个区实现公共就业服务信息系统全覆盖。制定相关政策措施，</w:t>
      </w:r>
      <w:r>
        <w:rPr>
          <w:rFonts w:ascii="仿宋_GB2312" w:eastAsia="仿宋_GB2312" w:hAnsi="仿宋" w:cs="仿宋" w:hint="eastAsia"/>
          <w:sz w:val="32"/>
          <w:szCs w:val="32"/>
        </w:rPr>
        <w:t>形成发展众创空间推进大众创业万众创新的政策体系。实施百万技能人才培训福利计划，</w:t>
      </w:r>
      <w:r>
        <w:rPr>
          <w:rFonts w:eastAsia="仿宋_GB2312"/>
          <w:sz w:val="32"/>
          <w:szCs w:val="32"/>
        </w:rPr>
        <w:t>128.6</w:t>
      </w:r>
      <w:r>
        <w:rPr>
          <w:rFonts w:ascii="仿宋_GB2312" w:eastAsia="仿宋_GB2312" w:hAnsi="仿宋" w:cs="仿宋" w:hint="eastAsia"/>
          <w:sz w:val="32"/>
          <w:szCs w:val="32"/>
        </w:rPr>
        <w:t>万人取得职业资格证书，超额完成目标任务。实施“海河工匠”建设，推动培训由普惠性向精准化转型。启动三年百万青年见习计划，扩大就业见习范围，提高补贴标准，就业见习基地</w:t>
      </w:r>
      <w:r>
        <w:rPr>
          <w:rFonts w:eastAsia="仿宋_GB2312" w:hint="eastAsia"/>
          <w:sz w:val="32"/>
          <w:szCs w:val="32"/>
        </w:rPr>
        <w:t>达</w:t>
      </w:r>
      <w:r>
        <w:rPr>
          <w:rFonts w:eastAsia="仿宋_GB2312"/>
          <w:sz w:val="32"/>
          <w:szCs w:val="32"/>
        </w:rPr>
        <w:t>1</w:t>
      </w:r>
      <w:r>
        <w:rPr>
          <w:rFonts w:eastAsia="仿宋_GB2312" w:hint="eastAsia"/>
          <w:sz w:val="32"/>
          <w:szCs w:val="32"/>
        </w:rPr>
        <w:t>419</w:t>
      </w:r>
      <w:r>
        <w:rPr>
          <w:rFonts w:eastAsia="仿宋_GB2312" w:hint="eastAsia"/>
          <w:sz w:val="32"/>
          <w:szCs w:val="32"/>
        </w:rPr>
        <w:t>家。</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社会保障体系更加健全完善。</w:t>
      </w:r>
      <w:r>
        <w:rPr>
          <w:rFonts w:eastAsia="仿宋_GB2312" w:hint="eastAsia"/>
          <w:sz w:val="32"/>
          <w:szCs w:val="32"/>
        </w:rPr>
        <w:t>全民参保计划深入推进，保障范围进一步扩大，全市养老、失业、工伤、医疗、生育保险参保人数分别达到</w:t>
      </w:r>
      <w:r>
        <w:rPr>
          <w:rFonts w:eastAsia="仿宋_GB2312"/>
          <w:sz w:val="32"/>
          <w:szCs w:val="32"/>
        </w:rPr>
        <w:t>901</w:t>
      </w:r>
      <w:r>
        <w:rPr>
          <w:rFonts w:eastAsia="仿宋_GB2312" w:hint="eastAsia"/>
          <w:sz w:val="32"/>
          <w:szCs w:val="32"/>
        </w:rPr>
        <w:t>万人、</w:t>
      </w:r>
      <w:r>
        <w:rPr>
          <w:rFonts w:eastAsia="仿宋_GB2312"/>
          <w:sz w:val="32"/>
          <w:szCs w:val="32"/>
        </w:rPr>
        <w:t>349</w:t>
      </w:r>
      <w:r>
        <w:rPr>
          <w:rFonts w:eastAsia="仿宋_GB2312" w:hint="eastAsia"/>
          <w:sz w:val="32"/>
          <w:szCs w:val="32"/>
        </w:rPr>
        <w:t>万人、</w:t>
      </w:r>
      <w:r>
        <w:rPr>
          <w:rFonts w:eastAsia="仿宋_GB2312"/>
          <w:sz w:val="32"/>
          <w:szCs w:val="32"/>
        </w:rPr>
        <w:t>406</w:t>
      </w:r>
      <w:r>
        <w:rPr>
          <w:rFonts w:eastAsia="仿宋_GB2312" w:hint="eastAsia"/>
          <w:sz w:val="32"/>
          <w:szCs w:val="32"/>
        </w:rPr>
        <w:t>万人、</w:t>
      </w:r>
      <w:r>
        <w:rPr>
          <w:rFonts w:eastAsia="仿宋_GB2312"/>
          <w:sz w:val="32"/>
          <w:szCs w:val="32"/>
        </w:rPr>
        <w:t>1164</w:t>
      </w:r>
      <w:r>
        <w:rPr>
          <w:rFonts w:eastAsia="仿宋_GB2312" w:hint="eastAsia"/>
          <w:sz w:val="32"/>
          <w:szCs w:val="32"/>
        </w:rPr>
        <w:t>万人、</w:t>
      </w:r>
      <w:r>
        <w:rPr>
          <w:rFonts w:eastAsia="仿宋_GB2312"/>
          <w:sz w:val="32"/>
          <w:szCs w:val="32"/>
        </w:rPr>
        <w:t>354</w:t>
      </w:r>
      <w:r>
        <w:rPr>
          <w:rFonts w:eastAsia="仿宋_GB2312" w:hint="eastAsia"/>
          <w:sz w:val="32"/>
          <w:szCs w:val="32"/>
        </w:rPr>
        <w:t>万</w:t>
      </w:r>
      <w:r>
        <w:rPr>
          <w:rFonts w:ascii="仿宋_GB2312" w:eastAsia="仿宋_GB2312" w:hAnsi="仿宋" w:cs="仿宋" w:hint="eastAsia"/>
          <w:sz w:val="32"/>
          <w:szCs w:val="32"/>
        </w:rPr>
        <w:t>人。《天津市基本医疗保险条例》成为全国第一部涵盖职工基本医疗保险和城乡居民基本医疗保险的地方性法规。职工生育保险与职工基本医疗保险合并实施。提高社会救助标准，实现最低生活保障标准城乡统一。筹备启动天津市第三代社会保障卡换发工作。建立职工大病保险制度，持续提高门诊和住院报销待遇，形成以基本医疗保险为基础、大病保险为补充、医疗救助为托底的多层次医疗保障制度体系。</w:t>
      </w:r>
    </w:p>
    <w:p w:rsidR="002C2F4D" w:rsidRDefault="00061D81" w:rsidP="00FA6DB5">
      <w:pPr>
        <w:adjustRightInd w:val="0"/>
        <w:ind w:firstLineChars="200" w:firstLine="622"/>
        <w:rPr>
          <w:rFonts w:ascii="仿宋_GB2312" w:eastAsia="仿宋_GB2312" w:hAnsi="仿宋" w:cs="仿宋"/>
          <w:b/>
          <w:bCs/>
          <w:sz w:val="32"/>
          <w:szCs w:val="32"/>
        </w:rPr>
      </w:pPr>
      <w:r>
        <w:rPr>
          <w:rFonts w:ascii="楷体_GB2312" w:eastAsia="楷体_GB2312" w:hAnsi="楷体_GB2312" w:cs="楷体_GB2312" w:hint="eastAsia"/>
          <w:sz w:val="32"/>
          <w:szCs w:val="32"/>
        </w:rPr>
        <w:t>基本医疗卫生服务能力稳步提升。</w:t>
      </w:r>
      <w:r>
        <w:rPr>
          <w:rFonts w:ascii="仿宋_GB2312" w:eastAsia="仿宋_GB2312" w:hAnsi="仿宋" w:cs="仿宋" w:hint="eastAsia"/>
          <w:sz w:val="32"/>
          <w:szCs w:val="32"/>
        </w:rPr>
        <w:t>医疗卫生设施加快建设，天津医院改扩建、环湖医院新址扩建、朱宪彝纪念医院、儿童医院马场院区等</w:t>
      </w:r>
      <w:r>
        <w:rPr>
          <w:rFonts w:eastAsia="仿宋_GB2312"/>
          <w:sz w:val="32"/>
          <w:szCs w:val="32"/>
        </w:rPr>
        <w:t>13</w:t>
      </w:r>
      <w:r>
        <w:rPr>
          <w:rFonts w:ascii="仿宋_GB2312" w:eastAsia="仿宋_GB2312" w:hAnsi="仿宋" w:cs="仿宋" w:hint="eastAsia"/>
          <w:sz w:val="32"/>
          <w:szCs w:val="32"/>
        </w:rPr>
        <w:t>个项目竣</w:t>
      </w:r>
      <w:r>
        <w:rPr>
          <w:rFonts w:ascii="仿宋_GB2312" w:eastAsia="仿宋_GB2312" w:hAnsi="仿宋" w:cs="仿宋" w:hint="eastAsia"/>
          <w:sz w:val="32"/>
          <w:szCs w:val="32"/>
        </w:rPr>
        <w:t>工</w:t>
      </w:r>
      <w:r>
        <w:rPr>
          <w:rFonts w:ascii="仿宋_GB2312" w:eastAsia="仿宋_GB2312" w:hAnsi="仿宋" w:cs="仿宋" w:hint="eastAsia"/>
          <w:sz w:val="32"/>
          <w:szCs w:val="32"/>
        </w:rPr>
        <w:t>，</w:t>
      </w:r>
      <w:r>
        <w:rPr>
          <w:rFonts w:eastAsia="仿宋_GB2312"/>
          <w:sz w:val="32"/>
          <w:szCs w:val="32"/>
        </w:rPr>
        <w:t>12</w:t>
      </w:r>
      <w:r>
        <w:rPr>
          <w:rFonts w:ascii="仿宋_GB2312" w:eastAsia="仿宋_GB2312" w:hAnsi="仿宋" w:cs="仿宋" w:hint="eastAsia"/>
          <w:sz w:val="32"/>
          <w:szCs w:val="32"/>
        </w:rPr>
        <w:t>个项目投入使用，在建项目</w:t>
      </w:r>
      <w:r>
        <w:rPr>
          <w:rFonts w:eastAsia="仿宋_GB2312"/>
          <w:sz w:val="32"/>
          <w:szCs w:val="32"/>
        </w:rPr>
        <w:t>14</w:t>
      </w:r>
      <w:r>
        <w:rPr>
          <w:rFonts w:ascii="仿宋_GB2312" w:eastAsia="仿宋_GB2312" w:hAnsi="仿宋" w:cs="仿宋" w:hint="eastAsia"/>
          <w:sz w:val="32"/>
          <w:szCs w:val="32"/>
        </w:rPr>
        <w:t>个。</w:t>
      </w:r>
      <w:r>
        <w:rPr>
          <w:rFonts w:eastAsia="仿宋_GB2312" w:hint="eastAsia"/>
          <w:sz w:val="32"/>
          <w:szCs w:val="32"/>
        </w:rPr>
        <w:t>实施一批基层医疗卫生机构改造提升项目，全市共设</w:t>
      </w:r>
      <w:r>
        <w:rPr>
          <w:rFonts w:eastAsia="仿宋_GB2312"/>
          <w:sz w:val="32"/>
          <w:szCs w:val="32"/>
        </w:rPr>
        <w:t>267</w:t>
      </w:r>
      <w:r>
        <w:rPr>
          <w:rFonts w:eastAsia="仿宋_GB2312" w:hint="eastAsia"/>
          <w:sz w:val="32"/>
          <w:szCs w:val="32"/>
        </w:rPr>
        <w:t>家社区卫生服务中心和乡镇卫生</w:t>
      </w:r>
      <w:r>
        <w:rPr>
          <w:rFonts w:ascii="仿宋_GB2312" w:eastAsia="仿宋_GB2312" w:hAnsi="仿宋" w:cs="仿宋" w:hint="eastAsia"/>
          <w:sz w:val="32"/>
          <w:szCs w:val="32"/>
        </w:rPr>
        <w:t>院，</w:t>
      </w:r>
      <w:r>
        <w:rPr>
          <w:rFonts w:eastAsia="仿宋_GB2312"/>
          <w:sz w:val="32"/>
          <w:szCs w:val="32"/>
        </w:rPr>
        <w:t>15</w:t>
      </w:r>
      <w:r>
        <w:rPr>
          <w:rFonts w:ascii="仿宋_GB2312" w:eastAsia="仿宋_GB2312" w:hAnsi="仿宋" w:cs="仿宋" w:hint="eastAsia"/>
          <w:sz w:val="32"/>
          <w:szCs w:val="32"/>
        </w:rPr>
        <w:t>分钟健康服务圈基本建成。基层诊疗占比从</w:t>
      </w:r>
      <w:r>
        <w:rPr>
          <w:rFonts w:eastAsia="仿宋_GB2312"/>
          <w:sz w:val="32"/>
          <w:szCs w:val="32"/>
        </w:rPr>
        <w:t>2015</w:t>
      </w:r>
      <w:r>
        <w:rPr>
          <w:rFonts w:ascii="仿宋_GB2312" w:eastAsia="仿宋_GB2312" w:hAnsi="仿宋" w:cs="仿宋" w:hint="eastAsia"/>
          <w:sz w:val="32"/>
          <w:szCs w:val="32"/>
        </w:rPr>
        <w:t>年的</w:t>
      </w:r>
      <w:r>
        <w:rPr>
          <w:rFonts w:eastAsia="仿宋_GB2312"/>
          <w:sz w:val="32"/>
          <w:szCs w:val="32"/>
        </w:rPr>
        <w:t>37.87%</w:t>
      </w:r>
      <w:r>
        <w:rPr>
          <w:rFonts w:ascii="仿宋_GB2312" w:eastAsia="仿宋_GB2312" w:hAnsi="仿宋" w:cs="仿宋" w:hint="eastAsia"/>
          <w:sz w:val="32"/>
          <w:szCs w:val="32"/>
        </w:rPr>
        <w:t>提升至</w:t>
      </w:r>
      <w:r>
        <w:rPr>
          <w:rFonts w:eastAsia="仿宋_GB2312"/>
          <w:sz w:val="32"/>
          <w:szCs w:val="32"/>
        </w:rPr>
        <w:t>41.68%</w:t>
      </w:r>
      <w:r>
        <w:rPr>
          <w:rFonts w:ascii="仿宋_GB2312" w:eastAsia="仿宋_GB2312" w:hAnsi="仿宋" w:cs="仿宋" w:hint="eastAsia"/>
          <w:sz w:val="32"/>
          <w:szCs w:val="32"/>
        </w:rPr>
        <w:t>，分级诊疗模式初步形成。天津中医药大学第一附属医院被认定为国家中医临床医学研究中心依托单位，天津中医药大学组分中药实验室获批建设全国第一个中医药国家重点研究室。</w:t>
      </w:r>
      <w:r>
        <w:rPr>
          <w:rFonts w:eastAsia="仿宋_GB2312" w:hint="eastAsia"/>
          <w:sz w:val="32"/>
          <w:szCs w:val="32"/>
        </w:rPr>
        <w:t>深化家庭医生签约服务，有效签约居民</w:t>
      </w:r>
      <w:r>
        <w:rPr>
          <w:rFonts w:eastAsia="仿宋_GB2312"/>
          <w:sz w:val="32"/>
          <w:szCs w:val="32"/>
        </w:rPr>
        <w:t>400</w:t>
      </w:r>
      <w:r>
        <w:rPr>
          <w:rFonts w:eastAsia="仿宋_GB2312" w:hint="eastAsia"/>
          <w:sz w:val="32"/>
          <w:szCs w:val="32"/>
        </w:rPr>
        <w:t>余万人，签约重点人群</w:t>
      </w:r>
      <w:r>
        <w:rPr>
          <w:rFonts w:eastAsia="仿宋_GB2312"/>
          <w:sz w:val="32"/>
          <w:szCs w:val="32"/>
        </w:rPr>
        <w:t>260</w:t>
      </w:r>
      <w:r>
        <w:rPr>
          <w:rFonts w:eastAsia="仿宋_GB2312" w:hint="eastAsia"/>
          <w:sz w:val="32"/>
          <w:szCs w:val="32"/>
        </w:rPr>
        <w:t>余万人，重点人群签约率超过</w:t>
      </w:r>
      <w:r>
        <w:rPr>
          <w:rFonts w:eastAsia="仿宋_GB2312"/>
          <w:sz w:val="32"/>
          <w:szCs w:val="32"/>
        </w:rPr>
        <w:t>60%</w:t>
      </w:r>
      <w:r>
        <w:rPr>
          <w:rFonts w:eastAsia="仿宋_GB2312" w:hint="eastAsia"/>
          <w:sz w:val="32"/>
          <w:szCs w:val="32"/>
        </w:rPr>
        <w:t>。慢性病过早死亡率较</w:t>
      </w:r>
      <w:r>
        <w:rPr>
          <w:rFonts w:eastAsia="仿宋_GB2312" w:hint="eastAsia"/>
          <w:sz w:val="32"/>
          <w:szCs w:val="32"/>
        </w:rPr>
        <w:t>2015</w:t>
      </w:r>
      <w:r>
        <w:rPr>
          <w:rFonts w:eastAsia="仿宋_GB2312" w:hint="eastAsia"/>
          <w:sz w:val="32"/>
          <w:szCs w:val="32"/>
        </w:rPr>
        <w:t>年下降</w:t>
      </w:r>
      <w:r>
        <w:rPr>
          <w:rFonts w:eastAsia="仿宋_GB2312" w:hint="eastAsia"/>
          <w:sz w:val="32"/>
          <w:szCs w:val="32"/>
        </w:rPr>
        <w:t>10.37%</w:t>
      </w:r>
      <w:r>
        <w:rPr>
          <w:rFonts w:eastAsia="仿宋_GB2312" w:hint="eastAsia"/>
          <w:sz w:val="32"/>
          <w:szCs w:val="32"/>
        </w:rPr>
        <w:t>，孕</w:t>
      </w:r>
      <w:r>
        <w:rPr>
          <w:rFonts w:eastAsia="仿宋_GB2312" w:hint="eastAsia"/>
          <w:sz w:val="32"/>
          <w:szCs w:val="32"/>
        </w:rPr>
        <w:t>产妇死亡率、婴儿死亡率持续控制在</w:t>
      </w:r>
      <w:r>
        <w:rPr>
          <w:rFonts w:eastAsia="仿宋_GB2312" w:hint="eastAsia"/>
          <w:sz w:val="32"/>
          <w:szCs w:val="32"/>
        </w:rPr>
        <w:t>10</w:t>
      </w:r>
      <w:r>
        <w:rPr>
          <w:rFonts w:ascii="仿宋_GB2312" w:eastAsia="仿宋_GB2312" w:hAnsi="仿宋_GB2312" w:cs="仿宋_GB2312" w:hint="eastAsia"/>
          <w:sz w:val="32"/>
          <w:szCs w:val="32"/>
        </w:rPr>
        <w:t>/</w:t>
      </w:r>
      <w:r>
        <w:rPr>
          <w:rFonts w:eastAsia="仿宋_GB2312" w:hint="eastAsia"/>
          <w:sz w:val="32"/>
          <w:szCs w:val="32"/>
        </w:rPr>
        <w:t>10</w:t>
      </w:r>
      <w:r>
        <w:rPr>
          <w:rFonts w:eastAsia="仿宋_GB2312" w:hint="eastAsia"/>
          <w:sz w:val="32"/>
          <w:szCs w:val="32"/>
        </w:rPr>
        <w:t>万以下和</w:t>
      </w:r>
      <w:r>
        <w:rPr>
          <w:rFonts w:eastAsia="仿宋_GB2312" w:hint="eastAsia"/>
          <w:sz w:val="32"/>
          <w:szCs w:val="32"/>
        </w:rPr>
        <w:t>6</w:t>
      </w:r>
      <w:r>
        <w:rPr>
          <w:rFonts w:eastAsia="仿宋_GB2312"/>
          <w:sz w:val="32"/>
          <w:szCs w:val="32"/>
        </w:rPr>
        <w:t>‰</w:t>
      </w:r>
      <w:r>
        <w:rPr>
          <w:rFonts w:eastAsia="仿宋_GB2312" w:hint="eastAsia"/>
          <w:sz w:val="32"/>
          <w:szCs w:val="32"/>
        </w:rPr>
        <w:t>以下</w:t>
      </w:r>
      <w:r>
        <w:rPr>
          <w:rFonts w:ascii="仿宋_GB2312" w:eastAsia="仿宋_GB2312" w:hAnsi="仿宋" w:cs="仿宋" w:hint="eastAsia"/>
          <w:sz w:val="32"/>
          <w:szCs w:val="32"/>
        </w:rPr>
        <w:t>。</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基本社会服务保障水平持续提高。</w:t>
      </w:r>
      <w:r>
        <w:rPr>
          <w:rFonts w:ascii="仿宋_GB2312" w:eastAsia="仿宋_GB2312" w:hAnsi="仿宋" w:cs="仿宋" w:hint="eastAsia"/>
          <w:sz w:val="32"/>
          <w:szCs w:val="32"/>
        </w:rPr>
        <w:t>实现残疾人补贴标准、困难老年人居家养老服务（护理）补贴标准城乡统一。落实特困人员救助供养制度，农村特困人员（五保对象）集中供养、分散供养标准分别提高至每人每月</w:t>
      </w:r>
      <w:r>
        <w:rPr>
          <w:rFonts w:eastAsia="仿宋_GB2312"/>
          <w:sz w:val="32"/>
          <w:szCs w:val="32"/>
        </w:rPr>
        <w:t>1870</w:t>
      </w:r>
      <w:r>
        <w:rPr>
          <w:rFonts w:ascii="仿宋_GB2312" w:eastAsia="仿宋_GB2312" w:hAnsi="仿宋" w:cs="仿宋" w:hint="eastAsia"/>
          <w:sz w:val="32"/>
          <w:szCs w:val="32"/>
        </w:rPr>
        <w:t>元、每人每月</w:t>
      </w:r>
      <w:r>
        <w:rPr>
          <w:rFonts w:eastAsia="仿宋_GB2312"/>
          <w:sz w:val="32"/>
          <w:szCs w:val="32"/>
        </w:rPr>
        <w:t>1530</w:t>
      </w:r>
      <w:r>
        <w:rPr>
          <w:rFonts w:ascii="仿宋_GB2312" w:eastAsia="仿宋_GB2312" w:hAnsi="仿宋" w:cs="仿宋" w:hint="eastAsia"/>
          <w:sz w:val="32"/>
          <w:szCs w:val="32"/>
        </w:rPr>
        <w:t>元</w:t>
      </w:r>
      <w:r>
        <w:rPr>
          <w:rFonts w:eastAsia="仿宋_GB2312" w:hint="eastAsia"/>
          <w:sz w:val="32"/>
          <w:szCs w:val="32"/>
        </w:rPr>
        <w:t>。建立事实无人抚养儿童基本生活保障政策，给予每人每月</w:t>
      </w:r>
      <w:r>
        <w:rPr>
          <w:rFonts w:eastAsia="仿宋_GB2312" w:hint="eastAsia"/>
          <w:sz w:val="32"/>
          <w:szCs w:val="32"/>
        </w:rPr>
        <w:t>2570</w:t>
      </w:r>
      <w:r>
        <w:rPr>
          <w:rFonts w:eastAsia="仿宋_GB2312" w:hint="eastAsia"/>
          <w:sz w:val="32"/>
          <w:szCs w:val="32"/>
        </w:rPr>
        <w:t>元基本生活费，保障标准居全国前列。建立困境家庭儿童基本生活费制度，给予低保和低收入救助家庭儿童每人每月</w:t>
      </w:r>
      <w:r>
        <w:rPr>
          <w:rFonts w:eastAsia="仿宋_GB2312"/>
          <w:sz w:val="32"/>
          <w:szCs w:val="32"/>
        </w:rPr>
        <w:t>200</w:t>
      </w:r>
      <w:r>
        <w:rPr>
          <w:rFonts w:eastAsia="仿宋_GB2312" w:hint="eastAsia"/>
          <w:sz w:val="32"/>
          <w:szCs w:val="32"/>
        </w:rPr>
        <w:t>元补贴。</w:t>
      </w:r>
      <w:r>
        <w:rPr>
          <w:rFonts w:ascii="仿宋_GB2312" w:eastAsia="仿宋_GB2312" w:hAnsi="仿宋" w:cs="仿宋" w:hint="eastAsia"/>
          <w:sz w:val="32"/>
          <w:szCs w:val="32"/>
        </w:rPr>
        <w:t>持续开展农村留守儿童“合力监护、相伴成长”专项行动。</w:t>
      </w:r>
      <w:r>
        <w:rPr>
          <w:rFonts w:eastAsia="仿宋_GB2312" w:hint="eastAsia"/>
          <w:sz w:val="32"/>
          <w:szCs w:val="32"/>
        </w:rPr>
        <w:t>放开养老服务市场，取消养老机构设立许可，改为登记和备案制度，全市养老机构</w:t>
      </w:r>
      <w:r>
        <w:rPr>
          <w:rFonts w:eastAsia="仿宋_GB2312" w:hint="eastAsia"/>
          <w:sz w:val="32"/>
          <w:szCs w:val="32"/>
        </w:rPr>
        <w:t>387</w:t>
      </w:r>
      <w:r>
        <w:rPr>
          <w:rFonts w:eastAsia="仿宋_GB2312" w:hint="eastAsia"/>
          <w:sz w:val="32"/>
          <w:szCs w:val="32"/>
        </w:rPr>
        <w:t>家，各类养老床位达到</w:t>
      </w:r>
      <w:r>
        <w:rPr>
          <w:rFonts w:eastAsia="仿宋_GB2312" w:hint="eastAsia"/>
          <w:sz w:val="32"/>
          <w:szCs w:val="32"/>
        </w:rPr>
        <w:t>7.6</w:t>
      </w:r>
      <w:r>
        <w:rPr>
          <w:rFonts w:eastAsia="仿宋_GB2312" w:hint="eastAsia"/>
          <w:sz w:val="32"/>
          <w:szCs w:val="32"/>
        </w:rPr>
        <w:t>万张，调整养老机构运营补贴标准至每年每张床</w:t>
      </w:r>
      <w:r>
        <w:rPr>
          <w:rFonts w:eastAsia="仿宋_GB2312" w:hint="eastAsia"/>
          <w:sz w:val="32"/>
          <w:szCs w:val="32"/>
        </w:rPr>
        <w:t>1200</w:t>
      </w:r>
      <w:r>
        <w:rPr>
          <w:rFonts w:eastAsia="仿宋_GB2312" w:hint="eastAsia"/>
          <w:sz w:val="32"/>
          <w:szCs w:val="32"/>
        </w:rPr>
        <w:t>元和</w:t>
      </w:r>
      <w:r>
        <w:rPr>
          <w:rFonts w:eastAsia="仿宋_GB2312" w:hint="eastAsia"/>
          <w:sz w:val="32"/>
          <w:szCs w:val="32"/>
        </w:rPr>
        <w:t>3600</w:t>
      </w:r>
      <w:r>
        <w:rPr>
          <w:rFonts w:eastAsia="仿宋_GB2312" w:hint="eastAsia"/>
          <w:sz w:val="32"/>
          <w:szCs w:val="32"/>
        </w:rPr>
        <w:t>元，引导社会力量举办养老机构，民办养老机构占全市养老机构总数的</w:t>
      </w:r>
      <w:r>
        <w:rPr>
          <w:rFonts w:eastAsia="仿宋_GB2312" w:hint="eastAsia"/>
          <w:sz w:val="32"/>
          <w:szCs w:val="32"/>
        </w:rPr>
        <w:t>85%</w:t>
      </w:r>
      <w:r>
        <w:rPr>
          <w:rFonts w:eastAsia="仿宋_GB2312" w:hint="eastAsia"/>
          <w:sz w:val="32"/>
          <w:szCs w:val="32"/>
        </w:rPr>
        <w:t>，床位占比达到</w:t>
      </w:r>
      <w:r>
        <w:rPr>
          <w:rFonts w:eastAsia="仿宋_GB2312" w:hint="eastAsia"/>
          <w:sz w:val="32"/>
          <w:szCs w:val="32"/>
        </w:rPr>
        <w:t>80.1%</w:t>
      </w:r>
      <w:r>
        <w:rPr>
          <w:rFonts w:eastAsia="仿宋_GB2312" w:hint="eastAsia"/>
          <w:sz w:val="32"/>
          <w:szCs w:val="32"/>
        </w:rPr>
        <w:t>，形成公办和民办养老机构优势互补、有序发展的格局；推进居家社区养老服务，开展老年人助餐服务，建立农村地区困难老年人居家养老服务（护理）补贴制度，建立农村留守老年人关爱体系，全市</w:t>
      </w:r>
      <w:r>
        <w:rPr>
          <w:rFonts w:eastAsia="仿宋_GB2312" w:hint="eastAsia"/>
          <w:sz w:val="32"/>
          <w:szCs w:val="32"/>
        </w:rPr>
        <w:t>1257</w:t>
      </w:r>
      <w:r>
        <w:rPr>
          <w:rFonts w:eastAsia="仿宋_GB2312" w:hint="eastAsia"/>
          <w:sz w:val="32"/>
          <w:szCs w:val="32"/>
        </w:rPr>
        <w:t>个老年人日间照料中心（站）、</w:t>
      </w:r>
      <w:r>
        <w:rPr>
          <w:rFonts w:eastAsia="仿宋_GB2312" w:hint="eastAsia"/>
          <w:sz w:val="32"/>
          <w:szCs w:val="32"/>
        </w:rPr>
        <w:t>1696</w:t>
      </w:r>
      <w:r>
        <w:rPr>
          <w:rFonts w:eastAsia="仿宋_GB2312" w:hint="eastAsia"/>
          <w:sz w:val="32"/>
          <w:szCs w:val="32"/>
        </w:rPr>
        <w:t>家老人家食堂为老年人提供助餐、助洁</w:t>
      </w:r>
      <w:r>
        <w:rPr>
          <w:rFonts w:eastAsia="仿宋_GB2312" w:hint="eastAsia"/>
          <w:sz w:val="32"/>
          <w:szCs w:val="32"/>
        </w:rPr>
        <w:t>、家政等服务</w:t>
      </w:r>
      <w:r>
        <w:rPr>
          <w:rFonts w:ascii="仿宋_GB2312" w:eastAsia="仿宋_GB2312" w:hAnsi="仿宋" w:cs="仿宋" w:hint="eastAsia"/>
          <w:sz w:val="32"/>
          <w:szCs w:val="32"/>
        </w:rPr>
        <w:t>。建立因病支出型困难家庭医疗救助制度，扩大救助医疗机构范围，提高门诊救助标准。率先在全国成立“两中心两站”退役军人四级服务管理体系，退役军人服务中心（站）总数达到</w:t>
      </w:r>
      <w:r>
        <w:rPr>
          <w:rFonts w:eastAsia="仿宋_GB2312"/>
          <w:sz w:val="32"/>
          <w:szCs w:val="32"/>
        </w:rPr>
        <w:t>5565</w:t>
      </w:r>
      <w:r>
        <w:rPr>
          <w:rFonts w:ascii="仿宋_GB2312" w:eastAsia="仿宋_GB2312" w:hAnsi="仿宋" w:cs="仿宋" w:hint="eastAsia"/>
          <w:sz w:val="32"/>
          <w:szCs w:val="32"/>
        </w:rPr>
        <w:t>个，实现全域覆盖。</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住房保障体系持续完善。</w:t>
      </w:r>
      <w:r>
        <w:rPr>
          <w:rFonts w:ascii="仿宋_GB2312" w:eastAsia="仿宋_GB2312" w:hAnsi="仿宋" w:cs="仿宋" w:hint="eastAsia"/>
          <w:sz w:val="32"/>
          <w:szCs w:val="32"/>
        </w:rPr>
        <w:t>住房保障制度框架逐步构建，形成梯次衔接、分层保障的住房保障体系。</w:t>
      </w:r>
      <w:r>
        <w:rPr>
          <w:rFonts w:eastAsia="仿宋_GB2312" w:hint="eastAsia"/>
          <w:sz w:val="32"/>
          <w:szCs w:val="32"/>
        </w:rPr>
        <w:t>新建棚户区改造安置房</w:t>
      </w:r>
      <w:r>
        <w:rPr>
          <w:rFonts w:eastAsia="仿宋_GB2312" w:hint="eastAsia"/>
          <w:sz w:val="32"/>
          <w:szCs w:val="32"/>
        </w:rPr>
        <w:t>11.37</w:t>
      </w:r>
      <w:r>
        <w:rPr>
          <w:rFonts w:eastAsia="仿宋_GB2312" w:hint="eastAsia"/>
          <w:sz w:val="32"/>
          <w:szCs w:val="32"/>
        </w:rPr>
        <w:t>万套，发放租房补贴</w:t>
      </w:r>
      <w:r>
        <w:rPr>
          <w:rFonts w:eastAsia="仿宋_GB2312" w:hint="eastAsia"/>
          <w:sz w:val="32"/>
          <w:szCs w:val="32"/>
        </w:rPr>
        <w:t>19.65</w:t>
      </w:r>
      <w:r>
        <w:rPr>
          <w:rFonts w:eastAsia="仿宋_GB2312" w:hint="eastAsia"/>
          <w:sz w:val="32"/>
          <w:szCs w:val="32"/>
        </w:rPr>
        <w:t>亿元，销售限价商品住房</w:t>
      </w:r>
      <w:r>
        <w:rPr>
          <w:rFonts w:eastAsia="仿宋_GB2312" w:hint="eastAsia"/>
          <w:sz w:val="32"/>
          <w:szCs w:val="32"/>
        </w:rPr>
        <w:t>2</w:t>
      </w:r>
      <w:r>
        <w:rPr>
          <w:rFonts w:eastAsia="仿宋_GB2312" w:hint="eastAsia"/>
          <w:sz w:val="32"/>
          <w:szCs w:val="32"/>
        </w:rPr>
        <w:t>万套。通过实施</w:t>
      </w:r>
      <w:r>
        <w:rPr>
          <w:rFonts w:eastAsia="仿宋_GB2312"/>
          <w:sz w:val="32"/>
          <w:szCs w:val="32"/>
        </w:rPr>
        <w:t>3</w:t>
      </w:r>
      <w:r>
        <w:rPr>
          <w:rFonts w:eastAsia="仿宋_GB2312" w:hint="eastAsia"/>
          <w:sz w:val="32"/>
          <w:szCs w:val="32"/>
        </w:rPr>
        <w:t>年棚户区改造，实现中心城区成片棚户区和危房</w:t>
      </w:r>
      <w:r>
        <w:rPr>
          <w:rFonts w:eastAsia="仿宋_GB2312"/>
          <w:sz w:val="32"/>
          <w:szCs w:val="32"/>
        </w:rPr>
        <w:t>100%</w:t>
      </w:r>
      <w:r>
        <w:rPr>
          <w:rFonts w:eastAsia="仿宋_GB2312" w:hint="eastAsia"/>
          <w:sz w:val="32"/>
          <w:szCs w:val="32"/>
        </w:rPr>
        <w:t>消除，</w:t>
      </w:r>
      <w:r>
        <w:rPr>
          <w:rFonts w:eastAsia="仿宋_GB2312"/>
          <w:sz w:val="32"/>
          <w:szCs w:val="32"/>
        </w:rPr>
        <w:t>6.3</w:t>
      </w:r>
      <w:r>
        <w:rPr>
          <w:rFonts w:eastAsia="仿宋_GB2312" w:hint="eastAsia"/>
          <w:sz w:val="32"/>
          <w:szCs w:val="32"/>
        </w:rPr>
        <w:t>万户、近</w:t>
      </w:r>
      <w:r>
        <w:rPr>
          <w:rFonts w:eastAsia="仿宋_GB2312"/>
          <w:sz w:val="32"/>
          <w:szCs w:val="32"/>
        </w:rPr>
        <w:t>30</w:t>
      </w:r>
      <w:r>
        <w:rPr>
          <w:rFonts w:eastAsia="仿宋_GB2312" w:hint="eastAsia"/>
          <w:sz w:val="32"/>
          <w:szCs w:val="32"/>
        </w:rPr>
        <w:t>万棚户区居民得到妥善安置。农村困难群众老旧危陋住房改</w:t>
      </w:r>
      <w:r>
        <w:rPr>
          <w:rFonts w:eastAsia="仿宋_GB2312" w:hint="eastAsia"/>
          <w:sz w:val="32"/>
          <w:szCs w:val="32"/>
        </w:rPr>
        <w:t>造累计完成约</w:t>
      </w:r>
      <w:r>
        <w:rPr>
          <w:rFonts w:eastAsia="仿宋_GB2312"/>
          <w:sz w:val="32"/>
          <w:szCs w:val="32"/>
        </w:rPr>
        <w:t>2.1</w:t>
      </w:r>
      <w:r>
        <w:rPr>
          <w:rFonts w:eastAsia="仿宋_GB2312" w:hint="eastAsia"/>
          <w:sz w:val="32"/>
          <w:szCs w:val="32"/>
        </w:rPr>
        <w:t>万户。</w:t>
      </w:r>
      <w:r>
        <w:rPr>
          <w:rFonts w:ascii="仿宋_GB2312" w:eastAsia="仿宋_GB2312" w:hAnsi="仿宋" w:cs="仿宋" w:hint="eastAsia"/>
          <w:sz w:val="32"/>
          <w:szCs w:val="32"/>
        </w:rPr>
        <w:t>实施农村人居环境整治行动，环境集中清整活动基本实现常态化，基本实现全市农村卫生厕所全覆盖。</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公共文化体育服务提档升级。</w:t>
      </w:r>
      <w:r>
        <w:rPr>
          <w:rFonts w:ascii="仿宋_GB2312" w:eastAsia="仿宋_GB2312" w:hAnsi="仿宋" w:cs="仿宋" w:hint="eastAsia"/>
          <w:bCs/>
          <w:sz w:val="32"/>
          <w:szCs w:val="32"/>
        </w:rPr>
        <w:t>出台《关于深化全民阅读建设书香天津的意见》、《天津市农家书屋城市书吧深化改革创新提升服务效能实施方案》，</w:t>
      </w:r>
      <w:r>
        <w:rPr>
          <w:rFonts w:eastAsia="仿宋_GB2312" w:hint="eastAsia"/>
          <w:sz w:val="32"/>
          <w:szCs w:val="32"/>
        </w:rPr>
        <w:t>持续推动全民阅读深入开展，创办“书香天津</w:t>
      </w:r>
      <w:r>
        <w:rPr>
          <w:rFonts w:ascii="仿宋_GB2312" w:eastAsia="仿宋_GB2312" w:hAnsi="宋体" w:cs="仿宋_GB2312" w:hint="eastAsia"/>
          <w:b/>
          <w:kern w:val="0"/>
          <w:sz w:val="32"/>
          <w:szCs w:val="32"/>
        </w:rPr>
        <w:t>·</w:t>
      </w:r>
      <w:r>
        <w:rPr>
          <w:rFonts w:eastAsia="仿宋_GB2312" w:hint="eastAsia"/>
          <w:sz w:val="32"/>
          <w:szCs w:val="32"/>
        </w:rPr>
        <w:t>读书月”，开展</w:t>
      </w:r>
      <w:r>
        <w:rPr>
          <w:rFonts w:eastAsia="仿宋_GB2312"/>
          <w:sz w:val="32"/>
          <w:szCs w:val="32"/>
        </w:rPr>
        <w:t>922</w:t>
      </w:r>
      <w:r>
        <w:rPr>
          <w:rFonts w:eastAsia="仿宋_GB2312" w:hint="eastAsia"/>
          <w:sz w:val="32"/>
          <w:szCs w:val="32"/>
        </w:rPr>
        <w:t>项重点阅读推广活动。连续举办四届“书香天津</w:t>
      </w:r>
      <w:r>
        <w:rPr>
          <w:rFonts w:ascii="仿宋_GB2312" w:eastAsia="仿宋_GB2312" w:hAnsi="宋体" w:cs="仿宋_GB2312" w:hint="eastAsia"/>
          <w:b/>
          <w:kern w:val="0"/>
          <w:sz w:val="32"/>
          <w:szCs w:val="32"/>
        </w:rPr>
        <w:t>·</w:t>
      </w:r>
      <w:r>
        <w:rPr>
          <w:rFonts w:eastAsia="仿宋_GB2312" w:hint="eastAsia"/>
          <w:sz w:val="32"/>
          <w:szCs w:val="32"/>
        </w:rPr>
        <w:t>春季书展”，举办</w:t>
      </w:r>
      <w:r>
        <w:rPr>
          <w:rFonts w:eastAsia="仿宋_GB2312"/>
          <w:sz w:val="32"/>
          <w:szCs w:val="32"/>
        </w:rPr>
        <w:t>275</w:t>
      </w:r>
      <w:r>
        <w:rPr>
          <w:rFonts w:eastAsia="仿宋_GB2312" w:hint="eastAsia"/>
          <w:sz w:val="32"/>
          <w:szCs w:val="32"/>
        </w:rPr>
        <w:t>场阅读推广现场活动。建设阅读新空间，丰富公共阅读设施，扶持实体书店，提升阅读服务效能</w:t>
      </w:r>
      <w:r>
        <w:rPr>
          <w:rFonts w:eastAsia="仿宋_GB2312" w:hint="eastAsia"/>
          <w:sz w:val="32"/>
          <w:szCs w:val="32"/>
        </w:rPr>
        <w:t>。制定</w:t>
      </w:r>
      <w:r>
        <w:rPr>
          <w:rFonts w:eastAsia="仿宋_GB2312" w:hint="eastAsia"/>
          <w:sz w:val="32"/>
          <w:szCs w:val="32"/>
        </w:rPr>
        <w:t>《</w:t>
      </w:r>
      <w:r>
        <w:rPr>
          <w:rFonts w:eastAsia="仿宋_GB2312" w:hint="eastAsia"/>
          <w:sz w:val="32"/>
          <w:szCs w:val="32"/>
        </w:rPr>
        <w:t>关于推进天津市区级文化馆图书馆总分馆制建设</w:t>
      </w:r>
      <w:r>
        <w:rPr>
          <w:rFonts w:eastAsia="仿宋_GB2312" w:hint="eastAsia"/>
          <w:sz w:val="32"/>
          <w:szCs w:val="32"/>
        </w:rPr>
        <w:t>的</w:t>
      </w:r>
      <w:r>
        <w:rPr>
          <w:rFonts w:eastAsia="仿宋_GB2312" w:hint="eastAsia"/>
          <w:sz w:val="32"/>
          <w:szCs w:val="32"/>
        </w:rPr>
        <w:t>实</w:t>
      </w:r>
      <w:r>
        <w:rPr>
          <w:rFonts w:eastAsia="仿宋_GB2312" w:hint="eastAsia"/>
          <w:sz w:val="32"/>
          <w:szCs w:val="32"/>
        </w:rPr>
        <w:t>施意见》，加</w:t>
      </w:r>
      <w:r>
        <w:rPr>
          <w:rFonts w:eastAsia="仿宋_GB2312" w:hint="eastAsia"/>
          <w:sz w:val="32"/>
          <w:szCs w:val="32"/>
        </w:rPr>
        <w:t>快推动基层公共文化服务设施标准化建设，在全国率先实施公共图书馆免押金借阅服务。有效落实《天津市全民健身实施计划（</w:t>
      </w:r>
      <w:r>
        <w:rPr>
          <w:rFonts w:eastAsia="仿宋_GB2312"/>
          <w:sz w:val="32"/>
          <w:szCs w:val="32"/>
        </w:rPr>
        <w:t>2016</w:t>
      </w:r>
      <w:r>
        <w:rPr>
          <w:rFonts w:eastAsia="仿宋_GB2312" w:hint="eastAsia"/>
          <w:sz w:val="32"/>
          <w:szCs w:val="32"/>
        </w:rPr>
        <w:t>—</w:t>
      </w:r>
      <w:r>
        <w:rPr>
          <w:rFonts w:eastAsia="仿宋_GB2312"/>
          <w:sz w:val="32"/>
          <w:szCs w:val="32"/>
        </w:rPr>
        <w:t>2020</w:t>
      </w:r>
      <w:r>
        <w:rPr>
          <w:rFonts w:eastAsia="仿宋_GB2312" w:hint="eastAsia"/>
          <w:sz w:val="32"/>
          <w:szCs w:val="32"/>
        </w:rPr>
        <w:t>年）》，经常参加体育锻炼的人数比例达</w:t>
      </w:r>
      <w:r>
        <w:rPr>
          <w:rFonts w:eastAsia="仿宋_GB2312"/>
          <w:sz w:val="32"/>
          <w:szCs w:val="32"/>
        </w:rPr>
        <w:t>45%</w:t>
      </w:r>
      <w:r>
        <w:rPr>
          <w:rFonts w:eastAsia="仿宋_GB2312" w:hint="eastAsia"/>
          <w:sz w:val="32"/>
          <w:szCs w:val="32"/>
        </w:rPr>
        <w:t>，人均体育场地达</w:t>
      </w:r>
      <w:r>
        <w:rPr>
          <w:rFonts w:eastAsia="仿宋_GB2312"/>
          <w:sz w:val="32"/>
          <w:szCs w:val="32"/>
        </w:rPr>
        <w:t>2.35</w:t>
      </w:r>
      <w:r>
        <w:rPr>
          <w:rFonts w:eastAsia="仿宋_GB2312" w:hint="eastAsia"/>
          <w:sz w:val="32"/>
          <w:szCs w:val="32"/>
        </w:rPr>
        <w:t>平方米</w:t>
      </w:r>
      <w:r>
        <w:rPr>
          <w:rFonts w:ascii="仿宋_GB2312" w:eastAsia="仿宋_GB2312" w:hAnsi="仿宋" w:cs="仿宋" w:hint="eastAsia"/>
          <w:sz w:val="32"/>
          <w:szCs w:val="32"/>
        </w:rPr>
        <w:t>。</w:t>
      </w:r>
      <w:r>
        <w:rPr>
          <w:rFonts w:eastAsia="仿宋_GB2312" w:hint="eastAsia"/>
          <w:sz w:val="32"/>
          <w:szCs w:val="32"/>
        </w:rPr>
        <w:t>成功举办第十三届全运会、第十届残运会暨第七届特奥会。</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残疾人事业发展再上新台阶。</w:t>
      </w:r>
      <w:r>
        <w:rPr>
          <w:rFonts w:ascii="仿宋_GB2312" w:eastAsia="仿宋_GB2312" w:hAnsi="仿宋" w:cs="仿宋" w:hint="eastAsia"/>
          <w:sz w:val="32"/>
          <w:szCs w:val="32"/>
        </w:rPr>
        <w:t>残疾人社会保障和福利补贴制度不断完善。提前两年实现困难残疾人生活用水、电、气、暖和特定信息消费补贴政策的目标。</w:t>
      </w:r>
      <w:r>
        <w:rPr>
          <w:rFonts w:eastAsia="仿宋_GB2312" w:hint="eastAsia"/>
          <w:sz w:val="32"/>
          <w:szCs w:val="32"/>
        </w:rPr>
        <w:t>将符合条件的农村困难残疾人家庭</w:t>
      </w:r>
      <w:r>
        <w:rPr>
          <w:rFonts w:eastAsia="仿宋_GB2312"/>
          <w:sz w:val="32"/>
          <w:szCs w:val="32"/>
        </w:rPr>
        <w:t>100%</w:t>
      </w:r>
      <w:r>
        <w:rPr>
          <w:rFonts w:eastAsia="仿宋_GB2312" w:hint="eastAsia"/>
          <w:sz w:val="32"/>
          <w:szCs w:val="32"/>
        </w:rPr>
        <w:t>纳入农村困难群众危房改造范围。实施《天津市残疾人康复服务“十三五”实施方案》、《天津市残疾人精准康复服务行动实施方案（</w:t>
      </w:r>
      <w:r>
        <w:rPr>
          <w:rFonts w:eastAsia="仿宋_GB2312"/>
          <w:sz w:val="32"/>
          <w:szCs w:val="32"/>
        </w:rPr>
        <w:t>2016</w:t>
      </w:r>
      <w:r>
        <w:rPr>
          <w:rFonts w:eastAsia="仿宋_GB2312" w:hint="eastAsia"/>
          <w:sz w:val="32"/>
          <w:szCs w:val="32"/>
        </w:rPr>
        <w:t>—</w:t>
      </w:r>
      <w:r>
        <w:rPr>
          <w:rFonts w:eastAsia="仿宋_GB2312"/>
          <w:sz w:val="32"/>
          <w:szCs w:val="32"/>
        </w:rPr>
        <w:t>2020</w:t>
      </w:r>
      <w:r>
        <w:rPr>
          <w:rFonts w:eastAsia="仿宋_GB2312" w:hint="eastAsia"/>
          <w:sz w:val="32"/>
          <w:szCs w:val="32"/>
        </w:rPr>
        <w:t>年）》，对有康复服务需求的残疾儿童和持证残疾人给予</w:t>
      </w:r>
      <w:r>
        <w:rPr>
          <w:rFonts w:eastAsia="仿宋_GB2312"/>
          <w:sz w:val="32"/>
          <w:szCs w:val="32"/>
        </w:rPr>
        <w:t>31</w:t>
      </w:r>
      <w:r>
        <w:rPr>
          <w:rFonts w:eastAsia="仿宋_GB2312" w:hint="eastAsia"/>
          <w:sz w:val="32"/>
          <w:szCs w:val="32"/>
        </w:rPr>
        <w:t>项基本康复服务，服务覆盖率达</w:t>
      </w:r>
      <w:r>
        <w:rPr>
          <w:rFonts w:eastAsia="仿宋_GB2312" w:hint="eastAsia"/>
          <w:sz w:val="32"/>
          <w:szCs w:val="32"/>
        </w:rPr>
        <w:t>80</w:t>
      </w:r>
      <w:r>
        <w:rPr>
          <w:rFonts w:eastAsia="仿宋_GB2312"/>
          <w:sz w:val="32"/>
          <w:szCs w:val="32"/>
        </w:rPr>
        <w:t>%</w:t>
      </w:r>
      <w:r>
        <w:rPr>
          <w:rFonts w:eastAsia="仿宋_GB2312" w:hint="eastAsia"/>
          <w:sz w:val="32"/>
          <w:szCs w:val="32"/>
        </w:rPr>
        <w:t>以上。</w:t>
      </w:r>
      <w:r>
        <w:rPr>
          <w:rFonts w:ascii="仿宋_GB2312" w:eastAsia="仿宋_GB2312" w:hAnsi="仿宋" w:cs="仿宋" w:hint="eastAsia"/>
          <w:sz w:val="32"/>
          <w:szCs w:val="32"/>
        </w:rPr>
        <w:t>精准落实适龄入学残疾儿童少年“一人一案”教育安置，残疾儿童少年接受义务教育比例</w:t>
      </w:r>
      <w:r>
        <w:rPr>
          <w:rFonts w:eastAsia="仿宋_GB2312" w:hint="eastAsia"/>
          <w:sz w:val="32"/>
          <w:szCs w:val="32"/>
        </w:rPr>
        <w:t>达</w:t>
      </w:r>
      <w:r>
        <w:rPr>
          <w:rFonts w:eastAsia="仿宋_GB2312"/>
          <w:sz w:val="32"/>
          <w:szCs w:val="32"/>
        </w:rPr>
        <w:t>96.06%</w:t>
      </w:r>
      <w:r>
        <w:rPr>
          <w:rFonts w:eastAsia="仿宋_GB2312" w:hint="eastAsia"/>
          <w:sz w:val="32"/>
          <w:szCs w:val="32"/>
        </w:rPr>
        <w:t>。全市残疾人新增就业</w:t>
      </w:r>
      <w:r>
        <w:rPr>
          <w:rFonts w:eastAsia="仿宋_GB2312"/>
          <w:sz w:val="32"/>
          <w:szCs w:val="32"/>
        </w:rPr>
        <w:t>23320</w:t>
      </w:r>
      <w:r>
        <w:rPr>
          <w:rFonts w:eastAsia="仿宋_GB2312" w:hint="eastAsia"/>
          <w:sz w:val="32"/>
          <w:szCs w:val="32"/>
        </w:rPr>
        <w:t>人，建立残疾人就业见习基地</w:t>
      </w:r>
      <w:r>
        <w:rPr>
          <w:rFonts w:eastAsia="仿宋_GB2312"/>
          <w:sz w:val="32"/>
          <w:szCs w:val="32"/>
        </w:rPr>
        <w:t>11</w:t>
      </w:r>
      <w:r>
        <w:rPr>
          <w:rFonts w:eastAsia="仿宋_GB2312" w:hint="eastAsia"/>
          <w:sz w:val="32"/>
          <w:szCs w:val="32"/>
        </w:rPr>
        <w:t>个。持续开展残疾人法律服务和法律援助，符合条件的残疾人涉法涉诉案件受理率</w:t>
      </w:r>
      <w:r>
        <w:rPr>
          <w:rFonts w:eastAsia="仿宋_GB2312"/>
          <w:sz w:val="32"/>
          <w:szCs w:val="32"/>
        </w:rPr>
        <w:t>100%</w:t>
      </w:r>
      <w:r>
        <w:rPr>
          <w:rFonts w:eastAsia="仿宋_GB2312" w:hint="eastAsia"/>
          <w:sz w:val="32"/>
          <w:szCs w:val="32"/>
        </w:rPr>
        <w:t>。无障碍设施建设创新发展，有需求且具备条件的残疾人</w:t>
      </w:r>
      <w:r>
        <w:rPr>
          <w:rFonts w:eastAsia="仿宋_GB2312" w:hint="eastAsia"/>
          <w:sz w:val="32"/>
          <w:szCs w:val="32"/>
        </w:rPr>
        <w:t>家庭和社区无障碍改造完成</w:t>
      </w:r>
      <w:r>
        <w:rPr>
          <w:rFonts w:eastAsia="仿宋_GB2312" w:hint="eastAsia"/>
          <w:sz w:val="32"/>
          <w:szCs w:val="32"/>
        </w:rPr>
        <w:t>14078</w:t>
      </w:r>
      <w:r>
        <w:rPr>
          <w:rFonts w:eastAsia="仿宋_GB2312" w:hint="eastAsia"/>
          <w:sz w:val="32"/>
          <w:szCs w:val="32"/>
        </w:rPr>
        <w:t>户和</w:t>
      </w:r>
      <w:r>
        <w:rPr>
          <w:rFonts w:eastAsia="仿宋_GB2312" w:hint="eastAsia"/>
          <w:sz w:val="32"/>
          <w:szCs w:val="32"/>
        </w:rPr>
        <w:t>1213</w:t>
      </w:r>
      <w:r>
        <w:rPr>
          <w:rFonts w:eastAsia="仿宋_GB2312" w:hint="eastAsia"/>
          <w:sz w:val="32"/>
          <w:szCs w:val="32"/>
        </w:rPr>
        <w:t>个社区。残疾人托养服务向规范化专业化发展，享受托养服务的残疾人达</w:t>
      </w:r>
      <w:r>
        <w:rPr>
          <w:rFonts w:eastAsia="仿宋_GB2312" w:hint="eastAsia"/>
          <w:sz w:val="32"/>
          <w:szCs w:val="32"/>
        </w:rPr>
        <w:t>5.88</w:t>
      </w:r>
      <w:r>
        <w:rPr>
          <w:rFonts w:eastAsia="仿宋_GB2312" w:hint="eastAsia"/>
          <w:sz w:val="32"/>
          <w:szCs w:val="32"/>
        </w:rPr>
        <w:t>万人。</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生态环境明显改善。</w:t>
      </w:r>
      <w:r>
        <w:rPr>
          <w:rFonts w:ascii="仿宋_GB2312" w:eastAsia="仿宋_GB2312" w:hAnsi="仿宋" w:cs="仿宋" w:hint="eastAsia"/>
          <w:sz w:val="32"/>
          <w:szCs w:val="32"/>
        </w:rPr>
        <w:t>主要污染物减排超额完成国家下达的目标，二氧化硫、氮氧化物、化学需氧量、氨氮排放量较</w:t>
      </w:r>
      <w:r>
        <w:rPr>
          <w:rFonts w:eastAsia="仿宋_GB2312"/>
          <w:sz w:val="32"/>
          <w:szCs w:val="32"/>
        </w:rPr>
        <w:t>2015</w:t>
      </w:r>
      <w:r>
        <w:rPr>
          <w:rFonts w:ascii="仿宋_GB2312" w:eastAsia="仿宋_GB2312" w:hAnsi="仿宋" w:cs="仿宋" w:hint="eastAsia"/>
          <w:sz w:val="32"/>
          <w:szCs w:val="32"/>
        </w:rPr>
        <w:t>年分别下降</w:t>
      </w:r>
      <w:r>
        <w:rPr>
          <w:rFonts w:eastAsia="仿宋_GB2312"/>
          <w:sz w:val="32"/>
          <w:szCs w:val="32"/>
        </w:rPr>
        <w:t>31.1%</w:t>
      </w:r>
      <w:r>
        <w:rPr>
          <w:rFonts w:ascii="仿宋_GB2312" w:eastAsia="仿宋_GB2312" w:hAnsi="仿宋" w:cs="仿宋" w:hint="eastAsia"/>
          <w:sz w:val="32"/>
          <w:szCs w:val="32"/>
        </w:rPr>
        <w:t>、</w:t>
      </w:r>
      <w:r>
        <w:rPr>
          <w:rFonts w:eastAsia="仿宋_GB2312"/>
          <w:sz w:val="32"/>
          <w:szCs w:val="32"/>
        </w:rPr>
        <w:t>29.4%</w:t>
      </w:r>
      <w:r>
        <w:rPr>
          <w:rFonts w:ascii="仿宋_GB2312" w:eastAsia="仿宋_GB2312" w:hAnsi="仿宋" w:cs="仿宋" w:hint="eastAsia"/>
          <w:sz w:val="32"/>
          <w:szCs w:val="32"/>
        </w:rPr>
        <w:t>、</w:t>
      </w:r>
      <w:r>
        <w:rPr>
          <w:rFonts w:eastAsia="仿宋_GB2312"/>
          <w:sz w:val="32"/>
          <w:szCs w:val="32"/>
        </w:rPr>
        <w:t>16.8%</w:t>
      </w:r>
      <w:r>
        <w:rPr>
          <w:rFonts w:ascii="仿宋_GB2312" w:eastAsia="仿宋_GB2312" w:hAnsi="仿宋" w:cs="仿宋" w:hint="eastAsia"/>
          <w:sz w:val="32"/>
          <w:szCs w:val="32"/>
        </w:rPr>
        <w:t>和</w:t>
      </w:r>
      <w:r>
        <w:rPr>
          <w:rFonts w:eastAsia="仿宋_GB2312"/>
          <w:sz w:val="32"/>
          <w:szCs w:val="32"/>
        </w:rPr>
        <w:t>18.5%</w:t>
      </w:r>
      <w:r>
        <w:rPr>
          <w:rFonts w:ascii="仿宋_GB2312" w:eastAsia="仿宋_GB2312" w:hAnsi="仿宋" w:cs="仿宋" w:hint="eastAsia"/>
          <w:sz w:val="32"/>
          <w:szCs w:val="32"/>
        </w:rPr>
        <w:t>，重点工程减排量分别累计完成</w:t>
      </w:r>
      <w:r>
        <w:rPr>
          <w:rFonts w:eastAsia="仿宋_GB2312"/>
          <w:sz w:val="32"/>
          <w:szCs w:val="32"/>
        </w:rPr>
        <w:t>5.1</w:t>
      </w:r>
      <w:r>
        <w:rPr>
          <w:rFonts w:ascii="仿宋_GB2312" w:eastAsia="仿宋_GB2312" w:hAnsi="仿宋" w:cs="仿宋" w:hint="eastAsia"/>
          <w:sz w:val="32"/>
          <w:szCs w:val="32"/>
        </w:rPr>
        <w:t>万吨、</w:t>
      </w:r>
      <w:r>
        <w:rPr>
          <w:rFonts w:eastAsia="仿宋_GB2312"/>
          <w:sz w:val="32"/>
          <w:szCs w:val="32"/>
        </w:rPr>
        <w:t>6.3</w:t>
      </w:r>
      <w:r>
        <w:rPr>
          <w:rFonts w:ascii="仿宋_GB2312" w:eastAsia="仿宋_GB2312" w:hAnsi="仿宋" w:cs="仿宋" w:hint="eastAsia"/>
          <w:sz w:val="32"/>
          <w:szCs w:val="32"/>
        </w:rPr>
        <w:t>万吨、</w:t>
      </w:r>
      <w:r>
        <w:rPr>
          <w:rFonts w:eastAsia="仿宋_GB2312"/>
          <w:sz w:val="32"/>
          <w:szCs w:val="32"/>
        </w:rPr>
        <w:t>4.9</w:t>
      </w:r>
      <w:r>
        <w:rPr>
          <w:rFonts w:ascii="仿宋_GB2312" w:eastAsia="仿宋_GB2312" w:hAnsi="仿宋" w:cs="仿宋" w:hint="eastAsia"/>
          <w:sz w:val="32"/>
          <w:szCs w:val="32"/>
        </w:rPr>
        <w:t>万吨和</w:t>
      </w:r>
      <w:r>
        <w:rPr>
          <w:rFonts w:eastAsia="仿宋_GB2312"/>
          <w:sz w:val="32"/>
          <w:szCs w:val="32"/>
        </w:rPr>
        <w:t>0.6</w:t>
      </w:r>
      <w:r>
        <w:rPr>
          <w:rFonts w:ascii="仿宋_GB2312" w:eastAsia="仿宋_GB2312" w:hAnsi="仿宋" w:cs="仿宋" w:hint="eastAsia"/>
          <w:sz w:val="32"/>
          <w:szCs w:val="32"/>
        </w:rPr>
        <w:t>万吨。工业固体废物综合利用率达</w:t>
      </w:r>
      <w:r>
        <w:rPr>
          <w:rFonts w:eastAsia="仿宋_GB2312"/>
          <w:sz w:val="32"/>
          <w:szCs w:val="32"/>
        </w:rPr>
        <w:t>99%</w:t>
      </w:r>
      <w:r>
        <w:rPr>
          <w:rFonts w:ascii="仿宋_GB2312" w:eastAsia="仿宋_GB2312" w:hAnsi="仿宋" w:cs="仿宋" w:hint="eastAsia"/>
          <w:sz w:val="32"/>
          <w:szCs w:val="32"/>
        </w:rPr>
        <w:t>以上，危险废物（医疗废物）实现综合利用、安全处置零排放，危险废物（医疗废物）无害化集中处理处置率达</w:t>
      </w:r>
      <w:r>
        <w:rPr>
          <w:rFonts w:eastAsia="仿宋_GB2312"/>
          <w:sz w:val="32"/>
          <w:szCs w:val="32"/>
        </w:rPr>
        <w:t>100%</w:t>
      </w:r>
      <w:r>
        <w:rPr>
          <w:rFonts w:ascii="仿宋_GB2312" w:eastAsia="仿宋_GB2312" w:hAnsi="仿宋" w:cs="仿宋" w:hint="eastAsia"/>
          <w:sz w:val="32"/>
          <w:szCs w:val="32"/>
        </w:rPr>
        <w:t>。全市</w:t>
      </w:r>
      <w:r>
        <w:rPr>
          <w:rFonts w:eastAsia="仿宋_GB2312"/>
          <w:sz w:val="32"/>
          <w:szCs w:val="32"/>
        </w:rPr>
        <w:t>1</w:t>
      </w:r>
      <w:r>
        <w:rPr>
          <w:rFonts w:ascii="仿宋_GB2312" w:eastAsia="仿宋_GB2312" w:hAnsi="仿宋" w:cs="仿宋" w:hint="eastAsia"/>
          <w:sz w:val="32"/>
          <w:szCs w:val="32"/>
        </w:rPr>
        <w:t>、</w:t>
      </w:r>
      <w:r>
        <w:rPr>
          <w:rFonts w:eastAsia="仿宋_GB2312"/>
          <w:sz w:val="32"/>
          <w:szCs w:val="32"/>
        </w:rPr>
        <w:t>2</w:t>
      </w:r>
      <w:r>
        <w:rPr>
          <w:rFonts w:ascii="仿宋_GB2312" w:eastAsia="仿宋_GB2312" w:hAnsi="仿宋" w:cs="仿宋" w:hint="eastAsia"/>
          <w:sz w:val="32"/>
          <w:szCs w:val="32"/>
        </w:rPr>
        <w:t>、</w:t>
      </w:r>
      <w:r>
        <w:rPr>
          <w:rFonts w:eastAsia="仿宋_GB2312"/>
          <w:spacing w:val="6"/>
          <w:sz w:val="32"/>
          <w:szCs w:val="32"/>
        </w:rPr>
        <w:t>3</w:t>
      </w:r>
      <w:r>
        <w:rPr>
          <w:rFonts w:ascii="仿宋_GB2312" w:eastAsia="仿宋_GB2312" w:hAnsi="仿宋" w:cs="仿宋" w:hint="eastAsia"/>
          <w:spacing w:val="6"/>
          <w:sz w:val="32"/>
          <w:szCs w:val="32"/>
        </w:rPr>
        <w:t>类功能区基本达标，</w:t>
      </w:r>
      <w:r>
        <w:rPr>
          <w:rFonts w:eastAsia="仿宋_GB2312"/>
          <w:spacing w:val="6"/>
          <w:sz w:val="32"/>
          <w:szCs w:val="32"/>
        </w:rPr>
        <w:t>2020</w:t>
      </w:r>
      <w:r>
        <w:rPr>
          <w:rFonts w:ascii="仿宋_GB2312" w:eastAsia="仿宋_GB2312" w:hAnsi="仿宋" w:cs="仿宋" w:hint="eastAsia"/>
          <w:spacing w:val="6"/>
          <w:sz w:val="32"/>
          <w:szCs w:val="32"/>
        </w:rPr>
        <w:t>年道路交通噪声昼间平均声级为</w:t>
      </w:r>
      <w:r>
        <w:rPr>
          <w:rFonts w:eastAsia="仿宋_GB2312"/>
          <w:spacing w:val="6"/>
          <w:sz w:val="32"/>
          <w:szCs w:val="32"/>
        </w:rPr>
        <w:t>65.0dB</w:t>
      </w:r>
      <w:r>
        <w:rPr>
          <w:rFonts w:ascii="仿宋_GB2312" w:eastAsia="仿宋_GB2312" w:hAnsi="仿宋" w:cs="仿宋" w:hint="eastAsia"/>
          <w:spacing w:val="6"/>
          <w:sz w:val="32"/>
          <w:szCs w:val="32"/>
        </w:rPr>
        <w:t>（</w:t>
      </w:r>
      <w:r>
        <w:rPr>
          <w:rFonts w:eastAsia="仿宋_GB2312"/>
          <w:spacing w:val="6"/>
          <w:sz w:val="32"/>
          <w:szCs w:val="32"/>
        </w:rPr>
        <w:t>A</w:t>
      </w:r>
      <w:r>
        <w:rPr>
          <w:rFonts w:ascii="仿宋_GB2312" w:eastAsia="仿宋_GB2312" w:hAnsi="仿宋" w:cs="仿宋" w:hint="eastAsia"/>
          <w:spacing w:val="6"/>
          <w:sz w:val="32"/>
          <w:szCs w:val="32"/>
        </w:rPr>
        <w:t>）</w:t>
      </w:r>
      <w:r>
        <w:rPr>
          <w:rFonts w:ascii="仿宋_GB2312" w:eastAsia="仿宋_GB2312" w:hAnsi="仿宋" w:cs="仿宋" w:hint="eastAsia"/>
          <w:sz w:val="32"/>
          <w:szCs w:val="32"/>
        </w:rPr>
        <w:t>，区域环境噪声平均声级为</w:t>
      </w:r>
      <w:r>
        <w:rPr>
          <w:rFonts w:eastAsia="仿宋_GB2312"/>
          <w:sz w:val="32"/>
          <w:szCs w:val="32"/>
        </w:rPr>
        <w:t>52.8dB</w:t>
      </w:r>
      <w:r>
        <w:rPr>
          <w:rFonts w:ascii="仿宋_GB2312" w:eastAsia="仿宋_GB2312" w:hAnsi="仿宋" w:cs="仿宋" w:hint="eastAsia"/>
          <w:sz w:val="32"/>
          <w:szCs w:val="32"/>
        </w:rPr>
        <w:t>（</w:t>
      </w:r>
      <w:r>
        <w:rPr>
          <w:rFonts w:eastAsia="仿宋_GB2312"/>
          <w:sz w:val="32"/>
          <w:szCs w:val="32"/>
        </w:rPr>
        <w:t>A</w:t>
      </w:r>
      <w:r>
        <w:rPr>
          <w:rFonts w:ascii="仿宋_GB2312" w:eastAsia="仿宋_GB2312" w:hAnsi="仿宋" w:cs="仿宋" w:hint="eastAsia"/>
          <w:sz w:val="32"/>
          <w:szCs w:val="32"/>
        </w:rPr>
        <w:t>）。划定全市生态保护红线总面积</w:t>
      </w:r>
      <w:r>
        <w:rPr>
          <w:rFonts w:eastAsia="仿宋_GB2312"/>
          <w:sz w:val="32"/>
          <w:szCs w:val="32"/>
        </w:rPr>
        <w:t>1393.79</w:t>
      </w:r>
      <w:r>
        <w:rPr>
          <w:rFonts w:ascii="仿宋_GB2312" w:eastAsia="仿宋_GB2312" w:hAnsi="仿宋" w:cs="仿宋" w:hint="eastAsia"/>
          <w:sz w:val="32"/>
          <w:szCs w:val="32"/>
        </w:rPr>
        <w:t>平方公里，形成“三区一带多点”的生态保护红线空间格局。</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基础设施建设加快推进。</w:t>
      </w:r>
      <w:r>
        <w:rPr>
          <w:rFonts w:eastAsia="仿宋_GB2312" w:hint="eastAsia"/>
          <w:sz w:val="32"/>
          <w:szCs w:val="32"/>
        </w:rPr>
        <w:t>交通体系更加完善便捷，公交线网体系不断优化完善，累计新辟、优化、调整线路</w:t>
      </w:r>
      <w:r>
        <w:rPr>
          <w:rFonts w:eastAsia="仿宋_GB2312"/>
          <w:sz w:val="32"/>
          <w:szCs w:val="32"/>
        </w:rPr>
        <w:t>308</w:t>
      </w:r>
      <w:r>
        <w:rPr>
          <w:rFonts w:eastAsia="仿宋_GB2312" w:hint="eastAsia"/>
          <w:sz w:val="32"/>
          <w:szCs w:val="32"/>
        </w:rPr>
        <w:t>条。新能源公交车推广应用明显加快，建成区新能源车辆投入率</w:t>
      </w:r>
      <w:r>
        <w:rPr>
          <w:rFonts w:eastAsia="仿宋_GB2312"/>
          <w:sz w:val="32"/>
          <w:szCs w:val="32"/>
        </w:rPr>
        <w:t>100%</w:t>
      </w:r>
      <w:r>
        <w:rPr>
          <w:rFonts w:eastAsia="仿宋_GB2312" w:hint="eastAsia"/>
          <w:sz w:val="32"/>
          <w:szCs w:val="32"/>
        </w:rPr>
        <w:t>。城乡客运班线公交化改造成效显著，全市所有</w:t>
      </w:r>
      <w:r>
        <w:rPr>
          <w:rFonts w:ascii="仿宋_GB2312" w:eastAsia="仿宋_GB2312" w:hAnsi="仿宋" w:cs="仿宋" w:hint="eastAsia"/>
          <w:sz w:val="32"/>
          <w:szCs w:val="32"/>
        </w:rPr>
        <w:t>建制村全部实现“村村通客车”。完成城市公共交通智能化应用示范工程。公交支付渠道多样化。有线电视网络实现“村村通”，行政村通光</w:t>
      </w:r>
      <w:r>
        <w:rPr>
          <w:rFonts w:eastAsia="仿宋_GB2312" w:hint="eastAsia"/>
          <w:sz w:val="32"/>
          <w:szCs w:val="32"/>
        </w:rPr>
        <w:t>纤</w:t>
      </w:r>
      <w:r>
        <w:rPr>
          <w:rFonts w:eastAsia="仿宋_GB2312"/>
          <w:sz w:val="32"/>
          <w:szCs w:val="32"/>
        </w:rPr>
        <w:t>90</w:t>
      </w:r>
      <w:r>
        <w:rPr>
          <w:rFonts w:eastAsia="仿宋_GB2312" w:hint="eastAsia"/>
          <w:sz w:val="32"/>
          <w:szCs w:val="32"/>
        </w:rPr>
        <w:t>万户，实现城乡全覆盖。通信业提速降费和各项惠民政策全面落实，信息通信平均资费水平在</w:t>
      </w:r>
      <w:r>
        <w:rPr>
          <w:rFonts w:eastAsia="仿宋_GB2312"/>
          <w:sz w:val="32"/>
          <w:szCs w:val="32"/>
        </w:rPr>
        <w:t>2015</w:t>
      </w:r>
      <w:r>
        <w:rPr>
          <w:rFonts w:eastAsia="仿宋_GB2312" w:hint="eastAsia"/>
          <w:sz w:val="32"/>
          <w:szCs w:val="32"/>
        </w:rPr>
        <w:t>年基础上下降</w:t>
      </w:r>
      <w:r>
        <w:rPr>
          <w:rFonts w:eastAsia="仿宋_GB2312"/>
          <w:sz w:val="32"/>
          <w:szCs w:val="32"/>
        </w:rPr>
        <w:t>40%</w:t>
      </w:r>
      <w:r>
        <w:rPr>
          <w:rFonts w:eastAsia="仿宋_GB2312" w:hint="eastAsia"/>
          <w:sz w:val="32"/>
          <w:szCs w:val="32"/>
        </w:rPr>
        <w:t>以上。第四代移动通信（</w:t>
      </w:r>
      <w:r>
        <w:rPr>
          <w:rFonts w:eastAsia="仿宋_GB2312"/>
          <w:sz w:val="32"/>
          <w:szCs w:val="32"/>
        </w:rPr>
        <w:t>4G</w:t>
      </w:r>
      <w:r>
        <w:rPr>
          <w:rFonts w:eastAsia="仿宋_GB2312" w:hint="eastAsia"/>
          <w:sz w:val="32"/>
          <w:szCs w:val="32"/>
        </w:rPr>
        <w:t>）网络实现城乡全覆盖以及园区、旅游景点、交通干道的覆盖。新增基站站址</w:t>
      </w:r>
      <w:r>
        <w:rPr>
          <w:rFonts w:eastAsia="仿宋_GB2312"/>
          <w:sz w:val="32"/>
          <w:szCs w:val="32"/>
        </w:rPr>
        <w:t>5321</w:t>
      </w:r>
      <w:r>
        <w:rPr>
          <w:rFonts w:eastAsia="仿宋_GB2312" w:hint="eastAsia"/>
          <w:sz w:val="32"/>
          <w:szCs w:val="32"/>
        </w:rPr>
        <w:t>个，新增</w:t>
      </w:r>
      <w:r>
        <w:rPr>
          <w:rFonts w:eastAsia="仿宋_GB2312"/>
          <w:sz w:val="32"/>
          <w:szCs w:val="32"/>
        </w:rPr>
        <w:t>4G</w:t>
      </w:r>
      <w:r>
        <w:rPr>
          <w:rFonts w:eastAsia="仿宋_GB2312" w:hint="eastAsia"/>
          <w:sz w:val="32"/>
          <w:szCs w:val="32"/>
        </w:rPr>
        <w:t>等各类基站</w:t>
      </w:r>
      <w:r>
        <w:rPr>
          <w:rFonts w:eastAsia="仿宋_GB2312"/>
          <w:sz w:val="32"/>
          <w:szCs w:val="32"/>
        </w:rPr>
        <w:t>48034</w:t>
      </w:r>
      <w:r>
        <w:rPr>
          <w:rFonts w:eastAsia="仿宋_GB2312" w:hint="eastAsia"/>
          <w:sz w:val="32"/>
          <w:szCs w:val="32"/>
        </w:rPr>
        <w:t>个，建设部署试商用第五代移动通信（</w:t>
      </w:r>
      <w:r>
        <w:rPr>
          <w:rFonts w:eastAsia="仿宋_GB2312"/>
          <w:sz w:val="32"/>
          <w:szCs w:val="32"/>
        </w:rPr>
        <w:t>5G</w:t>
      </w:r>
      <w:r>
        <w:rPr>
          <w:rFonts w:eastAsia="仿宋_GB2312" w:hint="eastAsia"/>
          <w:sz w:val="32"/>
          <w:szCs w:val="32"/>
        </w:rPr>
        <w:t>）基站</w:t>
      </w:r>
      <w:r>
        <w:rPr>
          <w:rFonts w:eastAsia="仿宋_GB2312"/>
          <w:sz w:val="32"/>
          <w:szCs w:val="32"/>
        </w:rPr>
        <w:t>15202</w:t>
      </w:r>
      <w:r>
        <w:rPr>
          <w:rFonts w:eastAsia="仿宋_GB2312" w:hint="eastAsia"/>
          <w:sz w:val="32"/>
          <w:szCs w:val="32"/>
        </w:rPr>
        <w:t>个。互联网省际宽带网络出口带宽达</w:t>
      </w:r>
      <w:r>
        <w:rPr>
          <w:rFonts w:eastAsia="仿宋_GB2312"/>
          <w:sz w:val="32"/>
          <w:szCs w:val="32"/>
        </w:rPr>
        <w:t>26074.2G</w:t>
      </w:r>
      <w:r>
        <w:rPr>
          <w:rFonts w:eastAsia="仿宋_GB2312" w:hint="eastAsia"/>
          <w:sz w:val="32"/>
          <w:szCs w:val="32"/>
        </w:rPr>
        <w:t>以上</w:t>
      </w:r>
      <w:r>
        <w:rPr>
          <w:rFonts w:ascii="仿宋_GB2312" w:eastAsia="仿宋_GB2312" w:hAnsi="仿宋" w:cs="仿宋" w:hint="eastAsia"/>
          <w:sz w:val="32"/>
          <w:szCs w:val="32"/>
        </w:rPr>
        <w:t>。</w:t>
      </w:r>
    </w:p>
    <w:p w:rsidR="002C2F4D" w:rsidRDefault="002C2F4D" w:rsidP="00FA6DB5">
      <w:pPr>
        <w:adjustRightInd w:val="0"/>
        <w:ind w:firstLineChars="200" w:firstLine="622"/>
        <w:rPr>
          <w:rFonts w:ascii="仿宋_GB2312" w:eastAsia="仿宋_GB2312" w:hAnsi="仿宋" w:cs="仿宋"/>
          <w:sz w:val="32"/>
          <w:szCs w:val="32"/>
        </w:rPr>
      </w:pPr>
    </w:p>
    <w:p w:rsidR="002C2F4D" w:rsidRDefault="00061D81">
      <w:pPr>
        <w:adjustRightInd w:val="0"/>
        <w:jc w:val="center"/>
        <w:outlineLvl w:val="2"/>
        <w:rPr>
          <w:rFonts w:ascii="黑体" w:eastAsia="黑体" w:hAnsi="黑体" w:cs="黑体"/>
          <w:kern w:val="0"/>
          <w:sz w:val="32"/>
          <w:szCs w:val="32"/>
        </w:rPr>
      </w:pPr>
      <w:bookmarkStart w:id="3" w:name="_Toc65837381"/>
      <w:r>
        <w:rPr>
          <w:rFonts w:ascii="黑体" w:eastAsia="黑体" w:hAnsi="黑体" w:cs="黑体" w:hint="eastAsia"/>
          <w:kern w:val="0"/>
          <w:sz w:val="32"/>
          <w:szCs w:val="32"/>
        </w:rPr>
        <w:t>第二节</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存在的问题</w:t>
      </w:r>
      <w:bookmarkEnd w:id="3"/>
    </w:p>
    <w:p w:rsidR="002C2F4D" w:rsidRDefault="002C2F4D" w:rsidP="00FA6DB5">
      <w:pPr>
        <w:adjustRightInd w:val="0"/>
        <w:ind w:firstLineChars="200" w:firstLine="622"/>
        <w:rPr>
          <w:rFonts w:ascii="仿宋_GB2312" w:eastAsia="仿宋_GB2312" w:hAnsi="仿宋" w:cs="仿宋"/>
          <w:sz w:val="32"/>
          <w:szCs w:val="32"/>
        </w:rPr>
      </w:pPr>
    </w:p>
    <w:p w:rsidR="002C2F4D" w:rsidRDefault="00061D81" w:rsidP="00FA6DB5">
      <w:pPr>
        <w:adjustRightInd w:val="0"/>
        <w:ind w:firstLineChars="200" w:firstLine="622"/>
        <w:rPr>
          <w:rFonts w:ascii="仿宋_GB2312" w:eastAsia="仿宋_GB2312" w:hAnsi="仿宋" w:cs="仿宋"/>
          <w:sz w:val="32"/>
          <w:szCs w:val="32"/>
        </w:rPr>
      </w:pPr>
      <w:r>
        <w:rPr>
          <w:rFonts w:ascii="仿宋_GB2312" w:eastAsia="仿宋_GB2312" w:hAnsi="仿宋" w:cs="仿宋" w:hint="eastAsia"/>
          <w:sz w:val="32"/>
          <w:szCs w:val="32"/>
        </w:rPr>
        <w:t>“十</w:t>
      </w:r>
      <w:r>
        <w:rPr>
          <w:rFonts w:ascii="仿宋_GB2312" w:eastAsia="仿宋_GB2312" w:hAnsi="仿宋" w:cs="仿宋" w:hint="eastAsia"/>
          <w:sz w:val="32"/>
          <w:szCs w:val="32"/>
        </w:rPr>
        <w:t>三五”期间本市基本公共服务体系建设取得明显成效，但仍面临一些矛盾和问题。</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重点领域补短板力度仍需加大。</w:t>
      </w:r>
      <w:r>
        <w:rPr>
          <w:rFonts w:ascii="仿宋_GB2312" w:eastAsia="仿宋_GB2312" w:hAnsi="仿宋" w:cs="仿宋" w:hint="eastAsia"/>
          <w:sz w:val="32"/>
          <w:szCs w:val="32"/>
        </w:rPr>
        <w:t>教育、养老、医疗等领域面临“量的增加”与“质的提升”双重挑战。二孩政策和“海河英才”行动计划的落地实施进一步显现义务教育学位供需矛盾问题。居家养老服务发展不足、公办养老机构床位紧张等大城市养老难题仍需精准破解。高水平医生数量不足仍是群众看病就医中遇到的主要问题。</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资源配置不均衡状况仍然存在。</w:t>
      </w:r>
      <w:r>
        <w:rPr>
          <w:rFonts w:ascii="仿宋_GB2312" w:eastAsia="仿宋_GB2312" w:hAnsi="仿宋" w:cs="仿宋" w:hint="eastAsia"/>
          <w:sz w:val="32"/>
          <w:szCs w:val="32"/>
        </w:rPr>
        <w:t>城乡居民在享受基本公共服务资源数量与质量上还有差距，远郊农村卫生、文化等领域发展仍需政策倾斜，优质服务资源有待继续延伸下沉和提质扩容。滨海新区在教育、医疗等领域与中心城区还存在差距，尚未达到京津冀世界级城市群建设要求，“津城”、“滨城”基本公共服务标准实施机制亟待创新。</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保障改善民生工作还存在差距。</w:t>
      </w:r>
      <w:r>
        <w:rPr>
          <w:rFonts w:ascii="仿宋_GB2312" w:eastAsia="仿宋_GB2312" w:hAnsi="仿宋" w:cs="仿宋" w:hint="eastAsia"/>
          <w:sz w:val="32"/>
          <w:szCs w:val="32"/>
        </w:rPr>
        <w:t>劳动就业服务水平与先进省市相比存在一定差距。兜底保障制度体系还不够健全，专项救助政策与低保政策捆绑较多，救助措施有待精准化，困难群体享受公共服务不充分等问题仍需着力解决。文体场所偏少，社区公共文化服务仍需进一步丰富。</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基本公共服务有效保障仍需加力。</w:t>
      </w:r>
      <w:r>
        <w:rPr>
          <w:rFonts w:ascii="仿宋_GB2312" w:eastAsia="仿宋_GB2312" w:hAnsi="仿宋" w:cs="仿宋" w:hint="eastAsia"/>
          <w:sz w:val="32"/>
          <w:szCs w:val="32"/>
        </w:rPr>
        <w:t>民生领域支出刚性增长，财政收支平衡压力持续加大。公共服务供给筹资渠道有待拓展，市场机制作用发挥不充分，社会领域投资活力有待激发。在推动公共服务便利化、智能化上仍有差距，老年人等特殊群众面临的“数字鸿沟”问题日益凸显，不能更好满足日益个性化、多层次的群众需求。</w:t>
      </w:r>
    </w:p>
    <w:p w:rsidR="002C2F4D" w:rsidRDefault="002C2F4D" w:rsidP="00FA6DB5">
      <w:pPr>
        <w:adjustRightInd w:val="0"/>
        <w:ind w:firstLineChars="200" w:firstLine="622"/>
        <w:rPr>
          <w:rFonts w:ascii="仿宋_GB2312" w:eastAsia="仿宋_GB2312" w:hAnsi="仿宋" w:cs="仿宋"/>
          <w:sz w:val="32"/>
          <w:szCs w:val="32"/>
        </w:rPr>
      </w:pPr>
    </w:p>
    <w:p w:rsidR="002C2F4D" w:rsidRDefault="00061D81">
      <w:pPr>
        <w:adjustRightInd w:val="0"/>
        <w:jc w:val="center"/>
        <w:outlineLvl w:val="2"/>
        <w:rPr>
          <w:rFonts w:ascii="黑体" w:eastAsia="黑体" w:hAnsi="黑体" w:cs="黑体"/>
          <w:kern w:val="0"/>
          <w:sz w:val="32"/>
          <w:szCs w:val="32"/>
        </w:rPr>
      </w:pPr>
      <w:bookmarkStart w:id="4" w:name="_Toc65837382"/>
      <w:r>
        <w:rPr>
          <w:rFonts w:ascii="黑体" w:eastAsia="黑体" w:hAnsi="黑体" w:cs="黑体" w:hint="eastAsia"/>
          <w:kern w:val="0"/>
          <w:sz w:val="32"/>
          <w:szCs w:val="32"/>
        </w:rPr>
        <w:t>第</w:t>
      </w:r>
      <w:r>
        <w:rPr>
          <w:rFonts w:ascii="黑体" w:eastAsia="黑体" w:hAnsi="黑体" w:cs="黑体" w:hint="eastAsia"/>
          <w:kern w:val="0"/>
          <w:sz w:val="32"/>
          <w:szCs w:val="32"/>
        </w:rPr>
        <w:t>三节</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面临形势与要求</w:t>
      </w:r>
      <w:bookmarkEnd w:id="4"/>
    </w:p>
    <w:p w:rsidR="002C2F4D" w:rsidRDefault="002C2F4D">
      <w:pPr>
        <w:adjustRightInd w:val="0"/>
        <w:jc w:val="center"/>
        <w:outlineLvl w:val="2"/>
        <w:rPr>
          <w:b/>
          <w:bCs/>
          <w:kern w:val="0"/>
          <w:sz w:val="32"/>
          <w:szCs w:val="32"/>
        </w:rPr>
      </w:pPr>
    </w:p>
    <w:p w:rsidR="002C2F4D" w:rsidRDefault="00061D81" w:rsidP="00FA6DB5">
      <w:pPr>
        <w:adjustRightInd w:val="0"/>
        <w:ind w:firstLineChars="200" w:firstLine="622"/>
        <w:rPr>
          <w:rFonts w:ascii="仿宋_GB2312" w:eastAsia="仿宋_GB2312" w:hAnsi="仿宋" w:cs="仿宋"/>
          <w:sz w:val="32"/>
          <w:szCs w:val="32"/>
        </w:rPr>
      </w:pPr>
      <w:r>
        <w:rPr>
          <w:rFonts w:ascii="仿宋_GB2312" w:eastAsia="仿宋_GB2312" w:hAnsi="仿宋" w:cs="仿宋" w:hint="eastAsia"/>
          <w:sz w:val="32"/>
          <w:szCs w:val="32"/>
        </w:rPr>
        <w:t>面临新发展阶段、新历史任务、新环境条件，在新发展理念的引领下，我国将加快构建以国内大循环为主体、国内国际双循环相互促进的新发展格局。改善收入分配、扩大内需、实现国内大循环迫切需要织密扎牢多层次民生保障体系，推动实现基本公共服务均等化。</w:t>
      </w:r>
    </w:p>
    <w:p w:rsidR="002C2F4D" w:rsidRDefault="00061D81" w:rsidP="00FA6DB5">
      <w:pPr>
        <w:adjustRightInd w:val="0"/>
        <w:ind w:firstLineChars="200" w:firstLine="622"/>
        <w:rPr>
          <w:rFonts w:ascii="仿宋_GB2312" w:eastAsia="仿宋_GB2312" w:hAnsi="仿宋" w:cs="仿宋"/>
          <w:sz w:val="32"/>
          <w:szCs w:val="32"/>
        </w:rPr>
      </w:pPr>
      <w:r>
        <w:rPr>
          <w:rFonts w:ascii="仿宋_GB2312" w:eastAsia="仿宋_GB2312" w:hAnsi="仿宋" w:cs="仿宋" w:hint="eastAsia"/>
          <w:sz w:val="32"/>
          <w:szCs w:val="32"/>
        </w:rPr>
        <w:t>从全国看，人民群众对美好生活的需要日趋多样化，人口结构变化明显，利益格局深刻变动，</w:t>
      </w:r>
      <w:r>
        <w:rPr>
          <w:rFonts w:ascii="仿宋_GB2312" w:eastAsia="仿宋_GB2312" w:hAnsi="仿宋" w:cs="仿宋" w:hint="eastAsia"/>
          <w:sz w:val="32"/>
          <w:szCs w:val="32"/>
        </w:rPr>
        <w:t>群众期待不断升级，社会服务数字化、网络化、智能化转型全面提速</w:t>
      </w:r>
      <w:r>
        <w:rPr>
          <w:rFonts w:ascii="仿宋_GB2312" w:eastAsia="仿宋_GB2312" w:hAnsi="仿宋" w:cs="仿宋" w:hint="eastAsia"/>
          <w:sz w:val="32"/>
          <w:szCs w:val="32"/>
        </w:rPr>
        <w:t>，</w:t>
      </w:r>
      <w:r>
        <w:rPr>
          <w:rFonts w:ascii="仿宋_GB2312" w:eastAsia="仿宋_GB2312" w:hAnsi="仿宋" w:cs="仿宋"/>
          <w:sz w:val="32"/>
          <w:szCs w:val="32"/>
        </w:rPr>
        <w:t>同时各类矛盾与风险交织叠加，特别是人口老龄化进程加速造成健康养老供求矛盾更加凸显。新时代新形势下，我国将顺</w:t>
      </w:r>
      <w:r>
        <w:rPr>
          <w:rFonts w:ascii="仿宋_GB2312" w:eastAsia="仿宋_GB2312" w:hAnsi="仿宋" w:cs="仿宋"/>
          <w:sz w:val="32"/>
          <w:szCs w:val="32"/>
        </w:rPr>
        <w:t>应人民对美好生活的向往，持续完善基本公共服务制度，加快建立基本公共服务标准体系，为实现高质量发展打下坚实基础。</w:t>
      </w:r>
    </w:p>
    <w:p w:rsidR="002C2F4D" w:rsidRDefault="00061D81" w:rsidP="00FA6DB5">
      <w:pPr>
        <w:adjustRightInd w:val="0"/>
        <w:ind w:firstLineChars="200" w:firstLine="622"/>
        <w:rPr>
          <w:rFonts w:ascii="仿宋_GB2312" w:eastAsia="仿宋_GB2312" w:hAnsi="仿宋" w:cs="仿宋"/>
          <w:sz w:val="32"/>
          <w:szCs w:val="32"/>
        </w:rPr>
      </w:pPr>
      <w:r>
        <w:rPr>
          <w:rFonts w:ascii="仿宋_GB2312" w:eastAsia="仿宋_GB2312" w:hAnsi="仿宋" w:cs="仿宋" w:hint="eastAsia"/>
          <w:sz w:val="32"/>
          <w:szCs w:val="32"/>
        </w:rPr>
        <w:t>从区域看，京津冀协同发展进入关键阶段</w:t>
      </w:r>
      <w:r>
        <w:rPr>
          <w:rFonts w:ascii="仿宋_GB2312" w:eastAsia="仿宋_GB2312" w:hAnsi="仿宋" w:cs="仿宋" w:hint="eastAsia"/>
          <w:sz w:val="32"/>
          <w:szCs w:val="32"/>
        </w:rPr>
        <w:t>，</w:t>
      </w:r>
      <w:r>
        <w:rPr>
          <w:rFonts w:ascii="仿宋_GB2312" w:eastAsia="仿宋_GB2312" w:hAnsi="仿宋" w:cs="仿宋"/>
          <w:sz w:val="32"/>
          <w:szCs w:val="32"/>
        </w:rPr>
        <w:t>公共服务共建共享进入深入推进阶段。</w:t>
      </w:r>
      <w:r>
        <w:rPr>
          <w:rFonts w:ascii="仿宋_GB2312" w:eastAsia="仿宋_GB2312" w:hAnsi="仿宋" w:cs="仿宋" w:hint="eastAsia"/>
          <w:sz w:val="32"/>
          <w:szCs w:val="32"/>
        </w:rPr>
        <w:t>京津冀区域内部基本公共服务均等化水平和便利共享程度仍较低</w:t>
      </w:r>
      <w:r>
        <w:rPr>
          <w:rFonts w:ascii="仿宋_GB2312" w:eastAsia="仿宋_GB2312" w:hAnsi="仿宋" w:cs="仿宋" w:hint="eastAsia"/>
          <w:sz w:val="32"/>
          <w:szCs w:val="32"/>
        </w:rPr>
        <w:t>，</w:t>
      </w:r>
      <w:r>
        <w:rPr>
          <w:rFonts w:ascii="仿宋_GB2312" w:eastAsia="仿宋_GB2312" w:hAnsi="仿宋" w:cs="仿宋" w:hint="eastAsia"/>
          <w:sz w:val="32"/>
          <w:szCs w:val="32"/>
        </w:rPr>
        <w:t>需不断拓展基本公共服务“协</w:t>
      </w:r>
      <w:r>
        <w:rPr>
          <w:rFonts w:ascii="仿宋_GB2312" w:eastAsia="仿宋_GB2312" w:hAnsi="仿宋" w:cs="仿宋" w:hint="eastAsia"/>
          <w:sz w:val="32"/>
          <w:szCs w:val="32"/>
        </w:rPr>
        <w:t>”的广度和“同”的深度，继续加大在教育、卫生、养老等方面先行先试力度，加快跨区域差别性政策标准的改革和对接，加强区域合作中的机制建设，缩小基本公共服务标准差距，让人民群众共享京津冀协同发展新成果。</w:t>
      </w:r>
    </w:p>
    <w:p w:rsidR="002C2F4D" w:rsidRDefault="00061D81" w:rsidP="00FA6DB5">
      <w:pPr>
        <w:adjustRightInd w:val="0"/>
        <w:ind w:firstLineChars="200" w:firstLine="622"/>
        <w:rPr>
          <w:rFonts w:ascii="仿宋_GB2312" w:eastAsia="仿宋_GB2312" w:hAnsi="仿宋" w:cs="仿宋"/>
          <w:sz w:val="32"/>
          <w:szCs w:val="32"/>
        </w:rPr>
      </w:pPr>
      <w:r>
        <w:rPr>
          <w:rFonts w:ascii="仿宋_GB2312" w:eastAsia="仿宋_GB2312" w:hAnsi="仿宋" w:cs="仿宋" w:hint="eastAsia"/>
          <w:sz w:val="32"/>
          <w:szCs w:val="32"/>
        </w:rPr>
        <w:t>从</w:t>
      </w:r>
      <w:r>
        <w:rPr>
          <w:rFonts w:ascii="仿宋_GB2312" w:eastAsia="仿宋_GB2312" w:hAnsi="仿宋" w:cs="仿宋" w:hint="eastAsia"/>
          <w:spacing w:val="-2"/>
          <w:sz w:val="32"/>
          <w:szCs w:val="32"/>
        </w:rPr>
        <w:t>天津看，本市进入“一基地三区”建设战略攻坚阶</w:t>
      </w:r>
      <w:r>
        <w:rPr>
          <w:rFonts w:ascii="仿宋_GB2312" w:eastAsia="仿宋_GB2312" w:hAnsi="仿宋" w:cs="仿宋" w:hint="eastAsia"/>
          <w:spacing w:val="-2"/>
          <w:sz w:val="32"/>
          <w:szCs w:val="32"/>
        </w:rPr>
        <w:t>段，“津城”、“滨城”双城发展格局加快形成，经济下行压力与基本公共服务支出增加趋势并存，要素成本优势持续减弱，人口老龄化程</w:t>
      </w:r>
      <w:r>
        <w:rPr>
          <w:rFonts w:ascii="仿宋_GB2312" w:eastAsia="仿宋_GB2312" w:hAnsi="仿宋" w:cs="仿宋" w:hint="eastAsia"/>
          <w:sz w:val="32"/>
          <w:szCs w:val="32"/>
        </w:rPr>
        <w:t>度不断加深，</w:t>
      </w:r>
      <w:r>
        <w:rPr>
          <w:rFonts w:eastAsia="仿宋_GB2312"/>
          <w:sz w:val="32"/>
          <w:szCs w:val="32"/>
        </w:rPr>
        <w:t>3</w:t>
      </w:r>
      <w:r>
        <w:rPr>
          <w:rFonts w:ascii="仿宋_GB2312" w:eastAsia="仿宋_GB2312" w:hAnsi="仿宋" w:cs="仿宋" w:hint="eastAsia"/>
          <w:sz w:val="32"/>
          <w:szCs w:val="32"/>
        </w:rPr>
        <w:t>岁以下婴幼儿托育供需矛盾突出，新增人口的教育、医疗、文化、体育等需求服务能力薄弱，城乡均衡发展要求基本公共服务提供更强支撑。加快实现本市基本公共服务供需匹配、</w:t>
      </w:r>
      <w:r>
        <w:rPr>
          <w:rFonts w:ascii="仿宋_GB2312" w:eastAsia="仿宋_GB2312" w:hAnsi="仿宋" w:cs="仿宋" w:hint="eastAsia"/>
          <w:spacing w:val="-2"/>
          <w:sz w:val="32"/>
          <w:szCs w:val="32"/>
        </w:rPr>
        <w:t>质量提升和布局优化，进一步提升人民群众生活品质，既要着力补齐基本公共服务短板和弱项，又要推进基本公共服务优质均衡发展，形成普惠性、保基本、均等化、可持续的基本公共服务标</w:t>
      </w:r>
      <w:r>
        <w:rPr>
          <w:rFonts w:ascii="仿宋_GB2312" w:eastAsia="仿宋_GB2312" w:hAnsi="仿宋" w:cs="仿宋" w:hint="eastAsia"/>
          <w:sz w:val="32"/>
          <w:szCs w:val="32"/>
        </w:rPr>
        <w:t>准体系。</w:t>
      </w:r>
      <w:bookmarkStart w:id="5" w:name="_Toc65837383"/>
      <w:bookmarkStart w:id="6" w:name="_Toc450226545"/>
    </w:p>
    <w:p w:rsidR="002C2F4D" w:rsidRDefault="00061D81">
      <w:pPr>
        <w:adjustRightInd w:val="0"/>
        <w:jc w:val="center"/>
        <w:outlineLvl w:val="0"/>
        <w:rPr>
          <w:rFonts w:ascii="方正小标宋_GBK" w:eastAsia="方正小标宋_GBK" w:hAnsi="方正小标宋_GBK" w:cs="方正小标宋_GBK"/>
          <w:bCs/>
          <w:kern w:val="0"/>
          <w:sz w:val="32"/>
          <w:szCs w:val="32"/>
        </w:rPr>
      </w:pPr>
      <w:r>
        <w:rPr>
          <w:rFonts w:ascii="方正小标宋_GBK" w:eastAsia="方正小标宋_GBK" w:hAnsi="方正小标宋_GBK" w:cs="方正小标宋_GBK" w:hint="eastAsia"/>
          <w:bCs/>
          <w:kern w:val="0"/>
          <w:sz w:val="32"/>
          <w:szCs w:val="32"/>
        </w:rPr>
        <w:t>第二章</w:t>
      </w:r>
      <w:r>
        <w:rPr>
          <w:rFonts w:ascii="方正小标宋_GBK" w:eastAsia="方正小标宋_GBK" w:hAnsi="方正小标宋_GBK" w:cs="方正小标宋_GBK" w:hint="eastAsia"/>
          <w:bCs/>
          <w:kern w:val="0"/>
          <w:sz w:val="32"/>
          <w:szCs w:val="32"/>
        </w:rPr>
        <w:t xml:space="preserve">  </w:t>
      </w:r>
      <w:r>
        <w:rPr>
          <w:rFonts w:ascii="方正小标宋_GBK" w:eastAsia="方正小标宋_GBK" w:hAnsi="方正小标宋_GBK" w:cs="方正小标宋_GBK" w:hint="eastAsia"/>
          <w:bCs/>
          <w:kern w:val="0"/>
          <w:sz w:val="32"/>
          <w:szCs w:val="32"/>
        </w:rPr>
        <w:t>总体思路</w:t>
      </w:r>
      <w:bookmarkEnd w:id="5"/>
    </w:p>
    <w:p w:rsidR="002C2F4D" w:rsidRDefault="002C2F4D">
      <w:pPr>
        <w:pStyle w:val="3"/>
        <w:keepNext w:val="0"/>
        <w:keepLines w:val="0"/>
        <w:adjustRightInd w:val="0"/>
        <w:spacing w:before="0" w:after="0" w:line="240" w:lineRule="auto"/>
        <w:jc w:val="center"/>
      </w:pPr>
      <w:bookmarkStart w:id="7" w:name="_Toc65837384"/>
    </w:p>
    <w:p w:rsidR="002C2F4D" w:rsidRDefault="00061D81">
      <w:pPr>
        <w:adjustRightInd w:val="0"/>
        <w:jc w:val="center"/>
        <w:outlineLvl w:val="0"/>
        <w:rPr>
          <w:rFonts w:ascii="黑体" w:eastAsia="黑体"/>
          <w:bCs/>
          <w:kern w:val="0"/>
          <w:sz w:val="32"/>
          <w:szCs w:val="32"/>
        </w:rPr>
      </w:pPr>
      <w:r>
        <w:rPr>
          <w:rFonts w:ascii="黑体" w:eastAsia="黑体" w:hint="eastAsia"/>
          <w:bCs/>
          <w:kern w:val="0"/>
          <w:sz w:val="32"/>
          <w:szCs w:val="32"/>
        </w:rPr>
        <w:t>第一节</w:t>
      </w:r>
      <w:r>
        <w:rPr>
          <w:rFonts w:ascii="黑体" w:eastAsia="黑体" w:hint="eastAsia"/>
          <w:bCs/>
          <w:kern w:val="0"/>
          <w:sz w:val="32"/>
          <w:szCs w:val="32"/>
        </w:rPr>
        <w:t xml:space="preserve">  </w:t>
      </w:r>
      <w:r>
        <w:rPr>
          <w:rFonts w:ascii="黑体" w:eastAsia="黑体" w:hint="eastAsia"/>
          <w:bCs/>
          <w:kern w:val="0"/>
          <w:sz w:val="32"/>
          <w:szCs w:val="32"/>
        </w:rPr>
        <w:t>指导思想</w:t>
      </w:r>
      <w:bookmarkEnd w:id="7"/>
    </w:p>
    <w:p w:rsidR="002C2F4D" w:rsidRDefault="002C2F4D" w:rsidP="00FA6DB5">
      <w:pPr>
        <w:adjustRightInd w:val="0"/>
        <w:snapToGrid w:val="0"/>
        <w:ind w:firstLineChars="200" w:firstLine="622"/>
        <w:rPr>
          <w:rFonts w:ascii="仿宋_GB2312" w:eastAsia="仿宋_GB2312"/>
          <w:sz w:val="32"/>
          <w:szCs w:val="32"/>
        </w:rPr>
      </w:pPr>
    </w:p>
    <w:p w:rsidR="002C2F4D" w:rsidRDefault="00061D81" w:rsidP="00FA6DB5">
      <w:pPr>
        <w:adjustRightInd w:val="0"/>
        <w:ind w:firstLineChars="200" w:firstLine="622"/>
        <w:rPr>
          <w:rFonts w:ascii="仿宋_GB2312" w:eastAsia="仿宋_GB2312"/>
          <w:sz w:val="32"/>
          <w:szCs w:val="32"/>
        </w:rPr>
      </w:pPr>
      <w:r>
        <w:rPr>
          <w:rFonts w:ascii="仿宋_GB2312" w:eastAsia="仿宋_GB2312" w:hint="eastAsia"/>
          <w:sz w:val="32"/>
          <w:szCs w:val="32"/>
        </w:rPr>
        <w:t>以习近平新时代中国特色社会主义思想为指导，深入贯彻党的十九大和十九届二中、三中、四中、五中、六中全会精神，坚持以人民为中心的发展思想，以推动高质量发展为主题，以改革创新为根本动力，以满足人民日益增长的美好生活需要为根本目的，以健全基本公共服务标准体系为抓手，统筹经济和社会发展，深入推进基本公共服务供给侧结</w:t>
      </w:r>
      <w:r>
        <w:rPr>
          <w:rFonts w:ascii="仿宋_GB2312" w:eastAsia="仿宋_GB2312" w:hint="eastAsia"/>
          <w:sz w:val="32"/>
          <w:szCs w:val="32"/>
        </w:rPr>
        <w:t>构性改革</w:t>
      </w:r>
      <w:r>
        <w:rPr>
          <w:rFonts w:ascii="仿宋_GB2312" w:eastAsia="仿宋_GB2312" w:hint="eastAsia"/>
          <w:sz w:val="32"/>
          <w:szCs w:val="32"/>
        </w:rPr>
        <w:t>，</w:t>
      </w:r>
      <w:r>
        <w:rPr>
          <w:rFonts w:ascii="仿宋_GB2312" w:eastAsia="仿宋_GB2312" w:hint="eastAsia"/>
          <w:sz w:val="32"/>
          <w:szCs w:val="32"/>
        </w:rPr>
        <w:t>着力</w:t>
      </w:r>
      <w:r>
        <w:rPr>
          <w:rFonts w:ascii="仿宋_GB2312" w:eastAsia="仿宋_GB2312" w:hint="eastAsia"/>
          <w:sz w:val="32"/>
          <w:szCs w:val="32"/>
        </w:rPr>
        <w:t>补齐基本公共服务短板弱项，着力改善基本公共服务供给质量，着力提升基本公共服务治理体系效率，着力推动基本公共服务资源均衡布局，着力推进京津冀基本公共服务共建共享，切实增强人民群众的获得感、幸</w:t>
      </w:r>
      <w:r>
        <w:rPr>
          <w:rFonts w:ascii="仿宋_GB2312" w:eastAsia="仿宋_GB2312" w:hint="eastAsia"/>
          <w:sz w:val="32"/>
          <w:szCs w:val="32"/>
        </w:rPr>
        <w:t>福感、安全感，为全面建设社会主义现代化大都市提供有力支撑。</w:t>
      </w:r>
    </w:p>
    <w:p w:rsidR="002C2F4D" w:rsidRDefault="002C2F4D" w:rsidP="00FA6DB5">
      <w:pPr>
        <w:adjustRightInd w:val="0"/>
        <w:snapToGrid w:val="0"/>
        <w:ind w:firstLineChars="200" w:firstLine="622"/>
        <w:rPr>
          <w:rFonts w:ascii="仿宋_GB2312" w:eastAsia="仿宋_GB2312"/>
          <w:sz w:val="32"/>
          <w:szCs w:val="32"/>
        </w:rPr>
      </w:pPr>
    </w:p>
    <w:p w:rsidR="002C2F4D" w:rsidRDefault="00061D81">
      <w:pPr>
        <w:pStyle w:val="3"/>
        <w:keepNext w:val="0"/>
        <w:keepLines w:val="0"/>
        <w:adjustRightInd w:val="0"/>
        <w:spacing w:before="0" w:after="0" w:line="240" w:lineRule="auto"/>
        <w:jc w:val="center"/>
        <w:rPr>
          <w:rFonts w:ascii="黑体" w:eastAsia="黑体" w:hAnsi="黑体" w:cs="黑体"/>
          <w:b w:val="0"/>
          <w:bCs w:val="0"/>
        </w:rPr>
      </w:pPr>
      <w:bookmarkStart w:id="8" w:name="_Toc65837385"/>
      <w:r>
        <w:rPr>
          <w:rFonts w:ascii="黑体" w:eastAsia="黑体" w:hAnsi="黑体" w:cs="黑体" w:hint="eastAsia"/>
          <w:b w:val="0"/>
          <w:bCs w:val="0"/>
        </w:rPr>
        <w:t>第二节</w:t>
      </w:r>
      <w:r>
        <w:rPr>
          <w:rFonts w:ascii="黑体" w:eastAsia="黑体" w:hAnsi="黑体" w:cs="黑体" w:hint="eastAsia"/>
          <w:b w:val="0"/>
          <w:bCs w:val="0"/>
        </w:rPr>
        <w:t xml:space="preserve">  </w:t>
      </w:r>
      <w:r>
        <w:rPr>
          <w:rFonts w:ascii="黑体" w:eastAsia="黑体" w:hAnsi="黑体" w:cs="黑体" w:hint="eastAsia"/>
          <w:b w:val="0"/>
          <w:bCs w:val="0"/>
        </w:rPr>
        <w:t>基本原则</w:t>
      </w:r>
      <w:bookmarkEnd w:id="8"/>
    </w:p>
    <w:p w:rsidR="002C2F4D" w:rsidRDefault="002C2F4D"/>
    <w:p w:rsidR="002C2F4D" w:rsidRDefault="00061D81" w:rsidP="00FA6DB5">
      <w:pPr>
        <w:adjustRightInd w:val="0"/>
        <w:ind w:firstLineChars="199" w:firstLine="619"/>
        <w:rPr>
          <w:rFonts w:ascii="仿宋_GB2312" w:eastAsia="仿宋_GB2312"/>
          <w:sz w:val="32"/>
          <w:szCs w:val="32"/>
        </w:rPr>
      </w:pPr>
      <w:r>
        <w:rPr>
          <w:rFonts w:ascii="楷体_GB2312" w:eastAsia="楷体_GB2312" w:hAnsi="楷体_GB2312" w:cs="楷体_GB2312" w:hint="eastAsia"/>
          <w:sz w:val="32"/>
          <w:szCs w:val="32"/>
        </w:rPr>
        <w:t>坚持党的全面领导。</w:t>
      </w:r>
      <w:r>
        <w:rPr>
          <w:rFonts w:ascii="仿宋_GB2312" w:eastAsia="仿宋_GB2312" w:hint="eastAsia"/>
          <w:sz w:val="32"/>
          <w:szCs w:val="32"/>
        </w:rPr>
        <w:t>把坚持和加强党的全面领导落实到基本公共服务标准体系建设的各方面、各环节，确保党中央、国务院关于基本公共服务标准体系建设工作的决策部署落到实处，为实现经济社会协调发展提供根本政治保证。</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坚持以人民为中心。</w:t>
      </w:r>
      <w:r>
        <w:rPr>
          <w:rFonts w:ascii="仿宋_GB2312" w:eastAsia="仿宋_GB2312" w:hint="eastAsia"/>
          <w:sz w:val="32"/>
          <w:szCs w:val="32"/>
        </w:rPr>
        <w:t>坚持人民主体地位，把解决人民群众最关心最直接最现实的利益问题作为出发点和落脚点，促进社会公平，增进民生福祉，切实兜牢基本民生保障网底，稳步提高优质资源均等共享水平，不断满足多样化民生需求，努力实现人民对美好生</w:t>
      </w:r>
      <w:r>
        <w:rPr>
          <w:rFonts w:ascii="仿宋_GB2312" w:eastAsia="仿宋_GB2312" w:hint="eastAsia"/>
          <w:sz w:val="32"/>
          <w:szCs w:val="32"/>
        </w:rPr>
        <w:t>活的向往。</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坚持新发展理念。</w:t>
      </w:r>
      <w:r>
        <w:rPr>
          <w:rFonts w:ascii="仿宋_GB2312" w:eastAsia="仿宋_GB2312" w:hint="eastAsia"/>
          <w:sz w:val="32"/>
          <w:szCs w:val="32"/>
        </w:rPr>
        <w:t>把新发展理念贯穿基本公共服务领域，消除体制机制障碍，创新管理方式、供给方式、技术应用方式，协调城乡、区域、人群基本公共服务资源布局，建立健全公共服务质量标准体系，推动改革创新与效率提升相促进，为人民群众提供更高质量、更有效率、更加公平、更可持续的公共服务。</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坚持共建共享。</w:t>
      </w:r>
      <w:r>
        <w:rPr>
          <w:rFonts w:ascii="仿宋_GB2312" w:eastAsia="仿宋_GB2312" w:hint="eastAsia"/>
          <w:sz w:val="32"/>
          <w:szCs w:val="32"/>
        </w:rPr>
        <w:t>强化政府在基本民生保障中的主体地位，加强公共资源投入保障，完善服务项目和基本标准，充分发挥市场机制作用，鼓励和引导各类主体参与基本公共服务标准体系建设，健全多层次社会保障体系，扩大公共服务有效供给，不断改善人民群众公共服务体验。</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坚持系统观念。</w:t>
      </w:r>
      <w:r>
        <w:rPr>
          <w:rFonts w:ascii="仿宋_GB2312" w:eastAsia="仿宋_GB2312" w:hint="eastAsia"/>
          <w:sz w:val="32"/>
          <w:szCs w:val="32"/>
        </w:rPr>
        <w:t>加强前瞻性思考、全局性谋划、战略性布局、整体性推进，提高基本公共服务供给结构对需求结构的适应性，推动各领域间、城乡区域间、受益群体间统筹协调，充分发挥社会政策托底功能，着力防范化解重大风险，推动基本公共服务工作行稳致远。</w:t>
      </w:r>
    </w:p>
    <w:p w:rsidR="002C2F4D" w:rsidRDefault="002C2F4D" w:rsidP="00FA6DB5">
      <w:pPr>
        <w:adjustRightInd w:val="0"/>
        <w:ind w:firstLineChars="200" w:firstLine="622"/>
        <w:rPr>
          <w:rFonts w:ascii="仿宋_GB2312" w:eastAsia="仿宋_GB2312"/>
          <w:sz w:val="32"/>
          <w:szCs w:val="32"/>
        </w:rPr>
      </w:pPr>
    </w:p>
    <w:p w:rsidR="002C2F4D" w:rsidRDefault="00061D81">
      <w:pPr>
        <w:pStyle w:val="3"/>
        <w:keepNext w:val="0"/>
        <w:keepLines w:val="0"/>
        <w:adjustRightInd w:val="0"/>
        <w:spacing w:before="0" w:after="0" w:line="240" w:lineRule="auto"/>
        <w:jc w:val="center"/>
        <w:rPr>
          <w:rFonts w:ascii="黑体" w:eastAsia="黑体" w:hAnsi="黑体" w:cs="黑体"/>
          <w:b w:val="0"/>
          <w:bCs w:val="0"/>
        </w:rPr>
      </w:pPr>
      <w:bookmarkStart w:id="9" w:name="_Toc65837386"/>
      <w:r>
        <w:rPr>
          <w:rFonts w:ascii="黑体" w:eastAsia="黑体" w:hAnsi="黑体" w:cs="黑体" w:hint="eastAsia"/>
          <w:b w:val="0"/>
          <w:bCs w:val="0"/>
        </w:rPr>
        <w:t>第三节</w:t>
      </w:r>
      <w:r>
        <w:rPr>
          <w:rFonts w:ascii="黑体" w:eastAsia="黑体" w:hAnsi="黑体" w:cs="黑体" w:hint="eastAsia"/>
          <w:b w:val="0"/>
          <w:bCs w:val="0"/>
        </w:rPr>
        <w:t xml:space="preserve">  </w:t>
      </w:r>
      <w:r>
        <w:rPr>
          <w:rFonts w:ascii="黑体" w:eastAsia="黑体" w:hAnsi="黑体" w:cs="黑体" w:hint="eastAsia"/>
          <w:b w:val="0"/>
          <w:bCs w:val="0"/>
        </w:rPr>
        <w:t>主要目标</w:t>
      </w:r>
      <w:bookmarkEnd w:id="9"/>
    </w:p>
    <w:p w:rsidR="002C2F4D" w:rsidRDefault="002C2F4D" w:rsidP="00FA6DB5">
      <w:pPr>
        <w:adjustRightInd w:val="0"/>
        <w:ind w:firstLineChars="200" w:firstLine="622"/>
        <w:rPr>
          <w:rFonts w:ascii="仿宋_GB2312" w:eastAsia="仿宋_GB2312" w:hAnsi="仿宋"/>
          <w:sz w:val="32"/>
          <w:szCs w:val="32"/>
        </w:rPr>
      </w:pPr>
    </w:p>
    <w:p w:rsidR="002C2F4D" w:rsidRDefault="00061D81" w:rsidP="00FA6DB5">
      <w:pPr>
        <w:adjustRightInd w:val="0"/>
        <w:ind w:firstLineChars="200" w:firstLine="622"/>
        <w:rPr>
          <w:rFonts w:ascii="仿宋_GB2312" w:eastAsia="仿宋_GB2312" w:hAnsi="仿宋"/>
          <w:sz w:val="32"/>
          <w:szCs w:val="32"/>
        </w:rPr>
      </w:pPr>
      <w:r>
        <w:rPr>
          <w:rFonts w:ascii="仿宋_GB2312" w:eastAsia="仿宋_GB2312" w:hAnsi="仿宋" w:hint="eastAsia"/>
          <w:sz w:val="32"/>
          <w:szCs w:val="32"/>
        </w:rPr>
        <w:t>到</w:t>
      </w:r>
      <w:r>
        <w:rPr>
          <w:rFonts w:eastAsia="仿宋_GB2312"/>
          <w:sz w:val="32"/>
          <w:szCs w:val="32"/>
        </w:rPr>
        <w:t>2025</w:t>
      </w:r>
      <w:r>
        <w:rPr>
          <w:rFonts w:ascii="仿宋_GB2312" w:eastAsia="仿宋_GB2312" w:hAnsi="仿宋" w:hint="eastAsia"/>
          <w:sz w:val="32"/>
          <w:szCs w:val="32"/>
        </w:rPr>
        <w:t>年，在</w:t>
      </w:r>
      <w:r>
        <w:rPr>
          <w:rFonts w:eastAsia="仿宋_GB2312" w:hint="eastAsia"/>
          <w:sz w:val="32"/>
          <w:szCs w:val="32"/>
        </w:rPr>
        <w:t>基本公共教育、就业与社会保障、基本社会服务、基本健康服务、基本住房保障、基本公共文化体育和残疾人基本公共服务</w:t>
      </w:r>
      <w:r>
        <w:rPr>
          <w:rFonts w:ascii="仿宋_GB2312" w:eastAsia="仿宋_GB2312" w:hAnsi="仿宋" w:hint="eastAsia"/>
          <w:sz w:val="32"/>
          <w:szCs w:val="32"/>
        </w:rPr>
        <w:t>等基本公共服务领域，努力实现以下主要目标。</w:t>
      </w:r>
    </w:p>
    <w:p w:rsidR="002C2F4D" w:rsidRDefault="00061D81" w:rsidP="00FA6DB5">
      <w:pPr>
        <w:adjustRightInd w:val="0"/>
        <w:ind w:firstLineChars="200" w:firstLine="622"/>
        <w:rPr>
          <w:rFonts w:ascii="仿宋_GB2312" w:eastAsia="仿宋_GB2312" w:hAnsi="仿宋"/>
          <w:sz w:val="32"/>
          <w:szCs w:val="32"/>
        </w:rPr>
      </w:pPr>
      <w:r>
        <w:rPr>
          <w:rFonts w:ascii="楷体_GB2312" w:eastAsia="楷体_GB2312" w:hAnsi="楷体_GB2312" w:cs="楷体_GB2312" w:hint="eastAsia"/>
          <w:bCs/>
          <w:sz w:val="32"/>
          <w:szCs w:val="32"/>
        </w:rPr>
        <w:t>基本公共服务标准体系全面建立。</w:t>
      </w:r>
      <w:r>
        <w:rPr>
          <w:rFonts w:ascii="仿宋_GB2312" w:eastAsia="仿宋_GB2312" w:hAnsi="仿宋" w:hint="eastAsia"/>
          <w:sz w:val="32"/>
          <w:szCs w:val="32"/>
        </w:rPr>
        <w:t>系统完善、层次分明、衔接配套、科学适用的基本公共服务标准体系基本形成，标准化理念融入政府治理，基本公共服务制度更加规范，供给质量和支出责任更加明确，资源配置和服务流程更加优化，基本公共服务标准动态调整机制基本建立，群众基本民生需求得到有效满足。</w:t>
      </w:r>
    </w:p>
    <w:p w:rsidR="002C2F4D" w:rsidRDefault="00061D81" w:rsidP="00FA6DB5">
      <w:pPr>
        <w:adjustRightInd w:val="0"/>
        <w:ind w:firstLineChars="200" w:firstLine="622"/>
        <w:rPr>
          <w:rFonts w:ascii="仿宋_GB2312" w:eastAsia="仿宋_GB2312" w:hAnsi="仿宋"/>
          <w:sz w:val="32"/>
          <w:szCs w:val="32"/>
        </w:rPr>
      </w:pPr>
      <w:r>
        <w:rPr>
          <w:rFonts w:ascii="楷体_GB2312" w:eastAsia="楷体_GB2312" w:hAnsi="楷体_GB2312" w:cs="楷体_GB2312" w:hint="eastAsia"/>
          <w:bCs/>
          <w:sz w:val="32"/>
          <w:szCs w:val="32"/>
        </w:rPr>
        <w:t>基本公共服务供给水平显著提升。</w:t>
      </w:r>
      <w:r>
        <w:rPr>
          <w:rFonts w:ascii="仿宋_GB2312" w:eastAsia="仿宋_GB2312" w:hAnsi="仿宋" w:hint="eastAsia"/>
          <w:sz w:val="32"/>
          <w:szCs w:val="32"/>
        </w:rPr>
        <w:t>服务范围稳步拓展，优质资源增效扩容，基层公共服务综合承</w:t>
      </w:r>
      <w:r>
        <w:rPr>
          <w:rFonts w:ascii="仿宋_GB2312" w:eastAsia="仿宋_GB2312" w:hAnsi="仿宋" w:hint="eastAsia"/>
          <w:sz w:val="32"/>
          <w:szCs w:val="32"/>
        </w:rPr>
        <w:t>载能力显著增强，基本民生底线不断筑牢兜实，多元化供给体系更加健全，服务方式更加便捷，服务供给效率显著提升，专业化、智能化、精准化、便利化程度明显提高，人民群众公共服务体验显著改善。</w:t>
      </w:r>
    </w:p>
    <w:p w:rsidR="002C2F4D" w:rsidRDefault="00061D81" w:rsidP="00FA6DB5">
      <w:pPr>
        <w:adjustRightInd w:val="0"/>
        <w:ind w:firstLineChars="200" w:firstLine="622"/>
        <w:rPr>
          <w:rFonts w:ascii="仿宋_GB2312" w:eastAsia="仿宋_GB2312" w:hAnsi="仿宋"/>
          <w:spacing w:val="4"/>
          <w:sz w:val="32"/>
          <w:szCs w:val="32"/>
        </w:rPr>
      </w:pPr>
      <w:r>
        <w:rPr>
          <w:rFonts w:ascii="楷体_GB2312" w:eastAsia="楷体_GB2312" w:hAnsi="楷体_GB2312" w:cs="楷体_GB2312" w:hint="eastAsia"/>
          <w:bCs/>
          <w:sz w:val="32"/>
          <w:szCs w:val="32"/>
        </w:rPr>
        <w:t>基本公共服务资源配置更趋均衡。</w:t>
      </w:r>
      <w:r>
        <w:rPr>
          <w:rFonts w:ascii="仿宋_GB2312" w:eastAsia="仿宋_GB2312" w:hAnsi="仿宋" w:hint="eastAsia"/>
          <w:sz w:val="32"/>
          <w:szCs w:val="32"/>
        </w:rPr>
        <w:t>资源布局对“津城”、“滨</w:t>
      </w:r>
      <w:r>
        <w:rPr>
          <w:rFonts w:ascii="仿宋_GB2312" w:eastAsia="仿宋_GB2312" w:hAnsi="仿宋" w:hint="eastAsia"/>
          <w:spacing w:val="2"/>
          <w:sz w:val="32"/>
          <w:szCs w:val="32"/>
        </w:rPr>
        <w:t>城”双城发展格局支撑能力显著提升，城乡、区域、人群基本公</w:t>
      </w:r>
      <w:r>
        <w:rPr>
          <w:rFonts w:ascii="仿宋_GB2312" w:eastAsia="仿宋_GB2312" w:hAnsi="仿宋" w:hint="eastAsia"/>
          <w:spacing w:val="4"/>
          <w:sz w:val="32"/>
          <w:szCs w:val="32"/>
        </w:rPr>
        <w:t>共服务实现全面覆盖，均等化水平明显提高，跨区域优质资源共建共享机制更加健全，改革发展成果更多更公平地惠及全体人民。</w:t>
      </w:r>
    </w:p>
    <w:p w:rsidR="002C2F4D" w:rsidRDefault="00061D81" w:rsidP="00FA6DB5">
      <w:pPr>
        <w:adjustRightInd w:val="0"/>
        <w:ind w:firstLineChars="200" w:firstLine="622"/>
        <w:rPr>
          <w:rFonts w:ascii="仿宋_GB2312" w:eastAsia="仿宋_GB2312" w:hAnsi="仿宋"/>
          <w:sz w:val="32"/>
          <w:szCs w:val="32"/>
        </w:rPr>
      </w:pPr>
      <w:r>
        <w:rPr>
          <w:rFonts w:ascii="楷体_GB2312" w:eastAsia="楷体_GB2312" w:hAnsi="楷体_GB2312" w:cs="楷体_GB2312" w:hint="eastAsia"/>
          <w:bCs/>
          <w:sz w:val="32"/>
          <w:szCs w:val="32"/>
        </w:rPr>
        <w:t>基本公共服务保障机制更加完善。</w:t>
      </w:r>
      <w:r>
        <w:rPr>
          <w:rFonts w:ascii="仿宋_GB2312" w:eastAsia="仿宋_GB2312" w:hAnsi="仿宋" w:hint="eastAsia"/>
          <w:sz w:val="32"/>
          <w:szCs w:val="32"/>
        </w:rPr>
        <w:t>财政保障机制更加成熟，公共服务人才保障更加充足，部门协调机制更加优化，社会</w:t>
      </w:r>
      <w:r>
        <w:rPr>
          <w:rFonts w:ascii="仿宋_GB2312" w:eastAsia="仿宋_GB2312" w:hAnsi="仿宋" w:hint="eastAsia"/>
          <w:sz w:val="32"/>
          <w:szCs w:val="32"/>
        </w:rPr>
        <w:t>参与更加踊跃，运行机制更加高效，各级人民政府主体责任进一步压实，社会监督更加有力，人民美好生活的制度基础更加坚实。</w:t>
      </w:r>
    </w:p>
    <w:p w:rsidR="002C2F4D" w:rsidRDefault="00061D81">
      <w:pPr>
        <w:adjustRightInd w:val="0"/>
        <w:jc w:val="center"/>
        <w:rPr>
          <w:rFonts w:ascii="黑体" w:eastAsia="黑体" w:hAnsi="黑体" w:cs="黑体"/>
          <w:bCs/>
          <w:sz w:val="32"/>
          <w:szCs w:val="32"/>
        </w:rPr>
      </w:pPr>
      <w:bookmarkStart w:id="10" w:name="_Hlk65789139"/>
      <w:r>
        <w:rPr>
          <w:rFonts w:ascii="黑体" w:eastAsia="黑体" w:hAnsi="黑体" w:cs="黑体"/>
          <w:bCs/>
          <w:sz w:val="32"/>
          <w:szCs w:val="32"/>
        </w:rPr>
        <w:t>“</w:t>
      </w:r>
      <w:r>
        <w:rPr>
          <w:rFonts w:ascii="黑体" w:eastAsia="黑体" w:hAnsi="黑体" w:cs="黑体"/>
          <w:bCs/>
          <w:sz w:val="32"/>
          <w:szCs w:val="32"/>
        </w:rPr>
        <w:t>十四五</w:t>
      </w:r>
      <w:r>
        <w:rPr>
          <w:rFonts w:ascii="黑体" w:eastAsia="黑体" w:hAnsi="黑体" w:cs="黑体"/>
          <w:bCs/>
          <w:sz w:val="32"/>
          <w:szCs w:val="32"/>
        </w:rPr>
        <w:t>”</w:t>
      </w:r>
      <w:r>
        <w:rPr>
          <w:rFonts w:ascii="黑体" w:eastAsia="黑体" w:hAnsi="黑体" w:cs="黑体"/>
          <w:bCs/>
          <w:sz w:val="32"/>
          <w:szCs w:val="32"/>
        </w:rPr>
        <w:t>时期天津市基本公共服务领域主要发展指标</w:t>
      </w:r>
    </w:p>
    <w:tbl>
      <w:tblPr>
        <w:tblW w:w="97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56"/>
        <w:gridCol w:w="4540"/>
        <w:gridCol w:w="1541"/>
        <w:gridCol w:w="1400"/>
        <w:gridCol w:w="1226"/>
      </w:tblGrid>
      <w:tr w:rsidR="002C2F4D">
        <w:trPr>
          <w:cantSplit/>
          <w:trHeight w:val="496"/>
          <w:tblHeader/>
          <w:jc w:val="center"/>
        </w:trPr>
        <w:tc>
          <w:tcPr>
            <w:tcW w:w="1056" w:type="dxa"/>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jc w:val="center"/>
              <w:rPr>
                <w:rFonts w:eastAsia="黑体"/>
                <w:kern w:val="0"/>
                <w:sz w:val="24"/>
              </w:rPr>
            </w:pPr>
            <w:r>
              <w:rPr>
                <w:rFonts w:eastAsia="黑体" w:hint="eastAsia"/>
                <w:kern w:val="0"/>
                <w:sz w:val="24"/>
              </w:rPr>
              <w:t>领域</w:t>
            </w: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jc w:val="center"/>
              <w:rPr>
                <w:rFonts w:eastAsia="黑体"/>
                <w:kern w:val="0"/>
                <w:sz w:val="24"/>
              </w:rPr>
            </w:pPr>
            <w:r>
              <w:rPr>
                <w:rFonts w:eastAsia="黑体" w:hint="eastAsia"/>
                <w:kern w:val="0"/>
                <w:sz w:val="24"/>
              </w:rPr>
              <w:t>指标</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eastAsia="黑体"/>
                <w:kern w:val="0"/>
                <w:sz w:val="24"/>
              </w:rPr>
            </w:pPr>
            <w:r>
              <w:rPr>
                <w:rFonts w:eastAsia="黑体"/>
                <w:kern w:val="0"/>
                <w:sz w:val="24"/>
              </w:rPr>
              <w:t>2020</w:t>
            </w:r>
            <w:r>
              <w:rPr>
                <w:rFonts w:eastAsia="黑体" w:hint="eastAsia"/>
                <w:kern w:val="0"/>
                <w:sz w:val="24"/>
              </w:rPr>
              <w:t>年</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eastAsia="黑体"/>
                <w:kern w:val="0"/>
                <w:sz w:val="24"/>
              </w:rPr>
            </w:pPr>
            <w:r>
              <w:rPr>
                <w:rFonts w:eastAsia="黑体"/>
                <w:kern w:val="0"/>
                <w:sz w:val="24"/>
              </w:rPr>
              <w:t>2025</w:t>
            </w:r>
            <w:r>
              <w:rPr>
                <w:rFonts w:eastAsia="黑体" w:hint="eastAsia"/>
                <w:kern w:val="0"/>
                <w:sz w:val="24"/>
              </w:rPr>
              <w:t>年</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eastAsia="黑体"/>
                <w:kern w:val="0"/>
                <w:sz w:val="24"/>
              </w:rPr>
            </w:pPr>
            <w:r>
              <w:rPr>
                <w:rFonts w:eastAsia="黑体"/>
                <w:kern w:val="0"/>
                <w:sz w:val="24"/>
              </w:rPr>
              <w:t>属性</w:t>
            </w:r>
          </w:p>
        </w:tc>
      </w:tr>
      <w:tr w:rsidR="002C2F4D">
        <w:trPr>
          <w:cantSplit/>
          <w:trHeight w:val="397"/>
          <w:jc w:val="center"/>
        </w:trPr>
        <w:tc>
          <w:tcPr>
            <w:tcW w:w="1056" w:type="dxa"/>
            <w:vMerge w:val="restart"/>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hint="eastAsia"/>
                <w:sz w:val="24"/>
              </w:rPr>
              <w:t>基本公共教育</w:t>
            </w: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学前三年毛入园率（</w:t>
            </w:r>
            <w:r>
              <w:rPr>
                <w:rFonts w:eastAsia="仿宋_GB2312"/>
                <w:sz w:val="24"/>
              </w:rPr>
              <w:t>%</w:t>
            </w:r>
            <w:r>
              <w:rPr>
                <w:rFonts w:eastAsia="仿宋_GB2312" w:hint="eastAsia"/>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92.3</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93</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预期</w:t>
            </w:r>
            <w:r>
              <w:rPr>
                <w:rFonts w:ascii="仿宋_GB2312" w:eastAsia="仿宋_GB2312" w:hAnsi="仿宋_GB2312" w:cs="仿宋_GB2312"/>
                <w:sz w:val="24"/>
              </w:rPr>
              <w:t>性</w:t>
            </w:r>
          </w:p>
        </w:tc>
      </w:tr>
      <w:tr w:rsidR="002C2F4D">
        <w:trPr>
          <w:cantSplit/>
          <w:trHeight w:val="422"/>
          <w:jc w:val="center"/>
        </w:trPr>
        <w:tc>
          <w:tcPr>
            <w:tcW w:w="1056" w:type="dxa"/>
            <w:vMerge/>
            <w:tcBorders>
              <w:top w:val="single" w:sz="4" w:space="0" w:color="000000"/>
              <w:left w:val="single" w:sz="4" w:space="0" w:color="000000"/>
              <w:bottom w:val="single" w:sz="4" w:space="0" w:color="000000"/>
              <w:right w:val="single" w:sz="4" w:space="0" w:color="auto"/>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九年义务教育巩固率（</w:t>
            </w:r>
            <w:r>
              <w:rPr>
                <w:rFonts w:eastAsia="仿宋_GB2312"/>
                <w:sz w:val="24"/>
              </w:rPr>
              <w:t>%</w:t>
            </w:r>
            <w:r>
              <w:rPr>
                <w:rFonts w:eastAsia="仿宋_GB2312"/>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99</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hint="eastAsia"/>
                <w:sz w:val="24"/>
              </w:rPr>
              <w:t>＞</w:t>
            </w:r>
            <w:r>
              <w:rPr>
                <w:sz w:val="24"/>
              </w:rPr>
              <w:t>99</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约束</w:t>
            </w:r>
            <w:r>
              <w:rPr>
                <w:rFonts w:ascii="仿宋_GB2312" w:eastAsia="仿宋_GB2312" w:hAnsi="仿宋_GB2312" w:cs="仿宋_GB2312"/>
                <w:sz w:val="24"/>
              </w:rPr>
              <w:t>性</w:t>
            </w:r>
          </w:p>
        </w:tc>
      </w:tr>
      <w:tr w:rsidR="002C2F4D">
        <w:trPr>
          <w:cantSplit/>
          <w:trHeight w:val="424"/>
          <w:jc w:val="center"/>
        </w:trPr>
        <w:tc>
          <w:tcPr>
            <w:tcW w:w="1056" w:type="dxa"/>
            <w:vMerge/>
            <w:tcBorders>
              <w:top w:val="single" w:sz="4" w:space="0" w:color="000000"/>
              <w:left w:val="single" w:sz="4" w:space="0" w:color="000000"/>
              <w:bottom w:val="single" w:sz="4" w:space="0" w:color="000000"/>
              <w:right w:val="single" w:sz="4" w:space="0" w:color="auto"/>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高中阶段毛入学率（</w:t>
            </w:r>
            <w:r>
              <w:rPr>
                <w:rFonts w:eastAsia="仿宋_GB2312"/>
                <w:sz w:val="24"/>
              </w:rPr>
              <w:t>%</w:t>
            </w:r>
            <w:r>
              <w:rPr>
                <w:rFonts w:eastAsia="仿宋_GB2312" w:hint="eastAsia"/>
                <w:sz w:val="24"/>
              </w:rPr>
              <w:t>）</w:t>
            </w:r>
          </w:p>
        </w:tc>
        <w:tc>
          <w:tcPr>
            <w:tcW w:w="1541" w:type="dxa"/>
            <w:tcBorders>
              <w:top w:val="single" w:sz="4" w:space="0" w:color="000000"/>
              <w:left w:val="single" w:sz="4" w:space="0" w:color="000000"/>
              <w:bottom w:val="single" w:sz="4" w:space="0" w:color="auto"/>
              <w:right w:val="single" w:sz="4" w:space="0" w:color="000000"/>
            </w:tcBorders>
            <w:vAlign w:val="center"/>
          </w:tcPr>
          <w:p w:rsidR="002C2F4D" w:rsidRDefault="00061D81">
            <w:pPr>
              <w:adjustRightInd w:val="0"/>
              <w:snapToGrid w:val="0"/>
              <w:jc w:val="center"/>
              <w:rPr>
                <w:sz w:val="24"/>
              </w:rPr>
            </w:pPr>
            <w:r>
              <w:rPr>
                <w:sz w:val="24"/>
              </w:rPr>
              <w:t>98</w:t>
            </w:r>
          </w:p>
        </w:tc>
        <w:tc>
          <w:tcPr>
            <w:tcW w:w="1400" w:type="dxa"/>
            <w:tcBorders>
              <w:top w:val="single" w:sz="4" w:space="0" w:color="000000"/>
              <w:left w:val="single" w:sz="4" w:space="0" w:color="000000"/>
              <w:bottom w:val="single" w:sz="4" w:space="0" w:color="auto"/>
              <w:right w:val="single" w:sz="4" w:space="0" w:color="000000"/>
            </w:tcBorders>
            <w:vAlign w:val="center"/>
          </w:tcPr>
          <w:p w:rsidR="002C2F4D" w:rsidRDefault="00061D81">
            <w:pPr>
              <w:adjustRightInd w:val="0"/>
              <w:snapToGrid w:val="0"/>
              <w:jc w:val="center"/>
              <w:rPr>
                <w:sz w:val="24"/>
              </w:rPr>
            </w:pPr>
            <w:r>
              <w:rPr>
                <w:rFonts w:hint="eastAsia"/>
                <w:sz w:val="24"/>
              </w:rPr>
              <w:t>＞</w:t>
            </w:r>
            <w:r>
              <w:rPr>
                <w:sz w:val="24"/>
              </w:rPr>
              <w:t>98</w:t>
            </w:r>
          </w:p>
        </w:tc>
        <w:tc>
          <w:tcPr>
            <w:tcW w:w="1226" w:type="dxa"/>
            <w:tcBorders>
              <w:top w:val="single" w:sz="4" w:space="0" w:color="000000"/>
              <w:left w:val="single" w:sz="4" w:space="0" w:color="000000"/>
              <w:bottom w:val="single" w:sz="4" w:space="0" w:color="auto"/>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预期性</w:t>
            </w:r>
          </w:p>
        </w:tc>
      </w:tr>
      <w:tr w:rsidR="002C2F4D">
        <w:trPr>
          <w:cantSplit/>
          <w:trHeight w:val="384"/>
          <w:jc w:val="center"/>
        </w:trPr>
        <w:tc>
          <w:tcPr>
            <w:tcW w:w="1056" w:type="dxa"/>
            <w:vMerge w:val="restart"/>
            <w:tcBorders>
              <w:top w:val="single" w:sz="4" w:space="0" w:color="000000"/>
              <w:left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hint="eastAsia"/>
                <w:sz w:val="24"/>
              </w:rPr>
              <w:t>就业与社会保障</w:t>
            </w: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城镇调查失业率（</w:t>
            </w:r>
            <w:r>
              <w:rPr>
                <w:rFonts w:eastAsia="仿宋_GB2312"/>
                <w:sz w:val="24"/>
              </w:rPr>
              <w:t>%</w:t>
            </w:r>
            <w:r>
              <w:rPr>
                <w:rFonts w:eastAsia="仿宋_GB2312" w:hint="eastAsia"/>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5.55</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hint="eastAsia"/>
                <w:sz w:val="24"/>
              </w:rPr>
              <w:t>＜</w:t>
            </w:r>
            <w:r>
              <w:rPr>
                <w:sz w:val="24"/>
              </w:rPr>
              <w:t>5.5</w:t>
            </w:r>
          </w:p>
        </w:tc>
        <w:tc>
          <w:tcPr>
            <w:tcW w:w="1226" w:type="dxa"/>
            <w:tcBorders>
              <w:top w:val="single" w:sz="4" w:space="0" w:color="000000"/>
              <w:left w:val="single" w:sz="4" w:space="0" w:color="000000"/>
              <w:bottom w:val="single" w:sz="4" w:space="0" w:color="auto"/>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09"/>
          <w:jc w:val="center"/>
        </w:trPr>
        <w:tc>
          <w:tcPr>
            <w:tcW w:w="1056" w:type="dxa"/>
            <w:vMerge/>
            <w:tcBorders>
              <w:left w:val="single" w:sz="4" w:space="0" w:color="000000"/>
              <w:right w:val="single" w:sz="4" w:space="0" w:color="auto"/>
            </w:tcBorders>
            <w:vAlign w:val="center"/>
          </w:tcPr>
          <w:p w:rsidR="002C2F4D" w:rsidRDefault="002C2F4D">
            <w:pPr>
              <w:adjustRightInd w:val="0"/>
              <w:snapToGrid w:val="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ascii="仿宋_GB2312" w:eastAsia="仿宋_GB2312" w:hAnsi="仿宋_GB2312" w:cs="仿宋_GB2312" w:hint="eastAsia"/>
                <w:sz w:val="24"/>
              </w:rPr>
              <w:t>开展补贴性职业技能培训人次（万人次</w:t>
            </w:r>
            <w:r>
              <w:rPr>
                <w:rFonts w:eastAsia="仿宋_GB2312" w:hint="eastAsia"/>
                <w:kern w:val="0"/>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hint="eastAsia"/>
                <w:sz w:val="24"/>
              </w:rPr>
              <w:t>169</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hint="eastAsia"/>
                <w:sz w:val="24"/>
              </w:rPr>
              <w:t>70</w:t>
            </w:r>
          </w:p>
        </w:tc>
        <w:tc>
          <w:tcPr>
            <w:tcW w:w="1226" w:type="dxa"/>
            <w:tcBorders>
              <w:top w:val="single" w:sz="4" w:space="0" w:color="000000"/>
              <w:left w:val="single" w:sz="4" w:space="0" w:color="000000"/>
              <w:bottom w:val="single" w:sz="4" w:space="0" w:color="auto"/>
              <w:right w:val="single" w:sz="4" w:space="0" w:color="000000"/>
            </w:tcBorders>
            <w:vAlign w:val="center"/>
          </w:tcPr>
          <w:p w:rsidR="002C2F4D" w:rsidRDefault="00061D81">
            <w:pPr>
              <w:adjustRightInd w:val="0"/>
              <w:snapToGrid w:val="0"/>
              <w:jc w:val="center"/>
              <w:rPr>
                <w:sz w:val="24"/>
              </w:rPr>
            </w:pPr>
            <w:r>
              <w:rPr>
                <w:rFonts w:ascii="仿宋_GB2312" w:eastAsia="仿宋_GB2312" w:hAnsi="仿宋_GB2312" w:cs="仿宋_GB2312"/>
                <w:sz w:val="24"/>
              </w:rPr>
              <w:t>预期性</w:t>
            </w:r>
          </w:p>
        </w:tc>
      </w:tr>
      <w:tr w:rsidR="002C2F4D">
        <w:trPr>
          <w:cantSplit/>
          <w:trHeight w:val="434"/>
          <w:jc w:val="center"/>
        </w:trPr>
        <w:tc>
          <w:tcPr>
            <w:tcW w:w="1056" w:type="dxa"/>
            <w:vMerge/>
            <w:tcBorders>
              <w:left w:val="single" w:sz="4" w:space="0" w:color="000000"/>
              <w:right w:val="single" w:sz="4" w:space="0" w:color="auto"/>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基本医疗保险</w:t>
            </w:r>
            <w:r>
              <w:rPr>
                <w:rFonts w:eastAsia="仿宋_GB2312" w:hint="eastAsia"/>
                <w:kern w:val="0"/>
                <w:sz w:val="24"/>
              </w:rPr>
              <w:t>参保人数（</w:t>
            </w:r>
            <w:r>
              <w:rPr>
                <w:rFonts w:eastAsia="仿宋_GB2312" w:hint="eastAsia"/>
                <w:sz w:val="24"/>
              </w:rPr>
              <w:t>万人</w:t>
            </w:r>
            <w:r>
              <w:rPr>
                <w:rFonts w:eastAsia="仿宋_GB2312" w:hint="eastAsia"/>
                <w:kern w:val="0"/>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1164</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1172</w:t>
            </w:r>
          </w:p>
        </w:tc>
        <w:tc>
          <w:tcPr>
            <w:tcW w:w="1226" w:type="dxa"/>
            <w:tcBorders>
              <w:top w:val="single" w:sz="4" w:space="0" w:color="auto"/>
              <w:left w:val="single" w:sz="4" w:space="0" w:color="000000"/>
              <w:bottom w:val="single" w:sz="4" w:space="0" w:color="auto"/>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12"/>
          <w:jc w:val="center"/>
        </w:trPr>
        <w:tc>
          <w:tcPr>
            <w:tcW w:w="1056" w:type="dxa"/>
            <w:vMerge/>
            <w:tcBorders>
              <w:left w:val="single" w:sz="4" w:space="0" w:color="000000"/>
              <w:right w:val="single" w:sz="4" w:space="0" w:color="auto"/>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基本养老保险参保人数</w:t>
            </w:r>
            <w:r>
              <w:rPr>
                <w:rFonts w:eastAsia="仿宋_GB2312" w:hint="eastAsia"/>
                <w:kern w:val="0"/>
                <w:sz w:val="24"/>
              </w:rPr>
              <w:t>（</w:t>
            </w:r>
            <w:r>
              <w:rPr>
                <w:rFonts w:eastAsia="仿宋_GB2312" w:hint="eastAsia"/>
                <w:sz w:val="24"/>
              </w:rPr>
              <w:t>万人</w:t>
            </w:r>
            <w:r>
              <w:rPr>
                <w:rFonts w:eastAsia="仿宋_GB2312" w:hint="eastAsia"/>
                <w:kern w:val="0"/>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hint="eastAsia"/>
                <w:sz w:val="24"/>
              </w:rPr>
              <w:t>900.6</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1010</w:t>
            </w:r>
          </w:p>
        </w:tc>
        <w:tc>
          <w:tcPr>
            <w:tcW w:w="1226" w:type="dxa"/>
            <w:tcBorders>
              <w:top w:val="single" w:sz="4" w:space="0" w:color="auto"/>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01"/>
          <w:jc w:val="center"/>
        </w:trPr>
        <w:tc>
          <w:tcPr>
            <w:tcW w:w="1056" w:type="dxa"/>
            <w:vMerge/>
            <w:tcBorders>
              <w:left w:val="single" w:sz="4" w:space="0" w:color="000000"/>
              <w:right w:val="single" w:sz="4" w:space="0" w:color="auto"/>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失业保险</w:t>
            </w:r>
            <w:r>
              <w:rPr>
                <w:rFonts w:eastAsia="仿宋_GB2312" w:hint="eastAsia"/>
                <w:kern w:val="0"/>
                <w:sz w:val="24"/>
              </w:rPr>
              <w:t>参保人数（</w:t>
            </w:r>
            <w:r>
              <w:rPr>
                <w:rFonts w:eastAsia="仿宋_GB2312" w:hint="eastAsia"/>
                <w:sz w:val="24"/>
              </w:rPr>
              <w:t>万人</w:t>
            </w:r>
            <w:r>
              <w:rPr>
                <w:rFonts w:eastAsia="仿宋_GB2312" w:hint="eastAsia"/>
                <w:kern w:val="0"/>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349</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3</w:t>
            </w:r>
            <w:r>
              <w:rPr>
                <w:rFonts w:hint="eastAsia"/>
                <w:sz w:val="24"/>
              </w:rPr>
              <w:t>71</w:t>
            </w:r>
          </w:p>
        </w:tc>
        <w:tc>
          <w:tcPr>
            <w:tcW w:w="1226" w:type="dxa"/>
            <w:tcBorders>
              <w:top w:val="single" w:sz="4" w:space="0" w:color="auto"/>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22"/>
          <w:jc w:val="center"/>
        </w:trPr>
        <w:tc>
          <w:tcPr>
            <w:tcW w:w="1056" w:type="dxa"/>
            <w:vMerge/>
            <w:tcBorders>
              <w:left w:val="single" w:sz="4" w:space="0" w:color="000000"/>
              <w:bottom w:val="single" w:sz="4" w:space="0" w:color="000000"/>
              <w:right w:val="single" w:sz="4" w:space="0" w:color="auto"/>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工伤保险参保人数</w:t>
            </w:r>
            <w:r>
              <w:rPr>
                <w:rFonts w:eastAsia="仿宋_GB2312" w:hint="eastAsia"/>
                <w:kern w:val="0"/>
                <w:sz w:val="24"/>
              </w:rPr>
              <w:t>（</w:t>
            </w:r>
            <w:r>
              <w:rPr>
                <w:rFonts w:eastAsia="仿宋_GB2312" w:hint="eastAsia"/>
                <w:sz w:val="24"/>
              </w:rPr>
              <w:t>万人</w:t>
            </w:r>
            <w:r>
              <w:rPr>
                <w:rFonts w:eastAsia="仿宋_GB2312" w:hint="eastAsia"/>
                <w:kern w:val="0"/>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406</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413</w:t>
            </w:r>
          </w:p>
        </w:tc>
        <w:tc>
          <w:tcPr>
            <w:tcW w:w="1226" w:type="dxa"/>
            <w:tcBorders>
              <w:top w:val="single" w:sz="4" w:space="0" w:color="auto"/>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396"/>
          <w:jc w:val="center"/>
        </w:trPr>
        <w:tc>
          <w:tcPr>
            <w:tcW w:w="1056" w:type="dxa"/>
            <w:vMerge w:val="restart"/>
            <w:tcBorders>
              <w:top w:val="single" w:sz="4" w:space="0" w:color="000000"/>
              <w:left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hint="eastAsia"/>
                <w:sz w:val="24"/>
              </w:rPr>
              <w:t>基本社会服务</w:t>
            </w: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养老床位中护理型床位比例（</w:t>
            </w:r>
            <w:r>
              <w:rPr>
                <w:rFonts w:eastAsia="仿宋_GB2312"/>
                <w:sz w:val="24"/>
              </w:rPr>
              <w:t>%</w:t>
            </w:r>
            <w:r>
              <w:rPr>
                <w:rFonts w:eastAsia="仿宋_GB2312" w:hint="eastAsia"/>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33.7</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55</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46"/>
          <w:jc w:val="center"/>
        </w:trPr>
        <w:tc>
          <w:tcPr>
            <w:tcW w:w="1056" w:type="dxa"/>
            <w:vMerge/>
            <w:tcBorders>
              <w:left w:val="single" w:sz="4" w:space="0" w:color="000000"/>
              <w:bottom w:val="single" w:sz="4" w:space="0" w:color="000000"/>
              <w:right w:val="single" w:sz="4" w:space="0" w:color="auto"/>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特困人员集中供养需求满足率（</w:t>
            </w:r>
            <w:r>
              <w:rPr>
                <w:rFonts w:eastAsia="仿宋_GB2312"/>
                <w:sz w:val="24"/>
              </w:rPr>
              <w:t>%</w:t>
            </w:r>
            <w:r>
              <w:rPr>
                <w:rFonts w:eastAsia="仿宋_GB2312" w:hint="eastAsia"/>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100</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100</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22"/>
          <w:jc w:val="center"/>
        </w:trPr>
        <w:tc>
          <w:tcPr>
            <w:tcW w:w="1056" w:type="dxa"/>
            <w:vMerge w:val="restart"/>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基本</w:t>
            </w:r>
            <w:r>
              <w:rPr>
                <w:rFonts w:eastAsia="仿宋_GB2312" w:hint="eastAsia"/>
                <w:sz w:val="24"/>
              </w:rPr>
              <w:t>健康服务</w:t>
            </w: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人均预期寿命</w:t>
            </w:r>
            <w:r>
              <w:rPr>
                <w:rFonts w:eastAsia="仿宋_GB2312" w:hint="eastAsia"/>
                <w:kern w:val="0"/>
                <w:sz w:val="24"/>
              </w:rPr>
              <w:t>（</w:t>
            </w:r>
            <w:r>
              <w:rPr>
                <w:rFonts w:eastAsia="仿宋_GB2312" w:hint="eastAsia"/>
                <w:sz w:val="24"/>
              </w:rPr>
              <w:t>岁</w:t>
            </w:r>
            <w:r>
              <w:rPr>
                <w:rFonts w:eastAsia="仿宋_GB2312" w:hint="eastAsia"/>
                <w:kern w:val="0"/>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hint="eastAsia"/>
                <w:sz w:val="24"/>
              </w:rPr>
              <w:t>81.91</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82.38</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384"/>
          <w:jc w:val="center"/>
        </w:trPr>
        <w:tc>
          <w:tcPr>
            <w:tcW w:w="1056" w:type="dxa"/>
            <w:vMerge/>
            <w:tcBorders>
              <w:top w:val="single" w:sz="4" w:space="0" w:color="000000"/>
              <w:left w:val="single" w:sz="4" w:space="0" w:color="000000"/>
              <w:bottom w:val="single" w:sz="4" w:space="0" w:color="000000"/>
              <w:right w:val="single" w:sz="4" w:space="0" w:color="auto"/>
            </w:tcBorders>
            <w:vAlign w:val="center"/>
          </w:tcPr>
          <w:p w:rsidR="002C2F4D" w:rsidRDefault="002C2F4D">
            <w:pPr>
              <w:adjustRightInd w:val="0"/>
              <w:snapToGrid w:val="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kern w:val="0"/>
                <w:sz w:val="24"/>
              </w:rPr>
              <w:t>孕产妇死亡率（</w:t>
            </w:r>
            <w:r>
              <w:rPr>
                <w:rFonts w:eastAsia="仿宋_GB2312"/>
                <w:kern w:val="0"/>
                <w:sz w:val="24"/>
              </w:rPr>
              <w:t>1</w:t>
            </w:r>
            <w:r>
              <w:rPr>
                <w:rFonts w:ascii="仿宋_GB2312" w:eastAsia="仿宋_GB2312" w:hAnsi="仿宋_GB2312" w:cs="仿宋_GB2312" w:hint="eastAsia"/>
                <w:sz w:val="24"/>
              </w:rPr>
              <w:t>/</w:t>
            </w:r>
            <w:r>
              <w:rPr>
                <w:rFonts w:eastAsia="仿宋_GB2312"/>
                <w:sz w:val="24"/>
              </w:rPr>
              <w:t>10</w:t>
            </w:r>
            <w:r>
              <w:rPr>
                <w:rFonts w:eastAsia="仿宋_GB2312" w:hint="eastAsia"/>
                <w:sz w:val="24"/>
              </w:rPr>
              <w:t>万</w:t>
            </w:r>
            <w:r>
              <w:rPr>
                <w:rFonts w:eastAsia="仿宋_GB2312" w:hint="eastAsia"/>
                <w:kern w:val="0"/>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hint="eastAsia"/>
                <w:sz w:val="24"/>
              </w:rPr>
              <w:t>＜</w:t>
            </w:r>
            <w:r>
              <w:rPr>
                <w:sz w:val="24"/>
              </w:rPr>
              <w:t>10</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ascii="宋体" w:hAnsi="宋体" w:hint="eastAsia"/>
                <w:sz w:val="24"/>
              </w:rPr>
              <w:t>≤</w:t>
            </w:r>
            <w:r>
              <w:rPr>
                <w:sz w:val="24"/>
              </w:rPr>
              <w:t>8.5</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22"/>
          <w:jc w:val="center"/>
        </w:trPr>
        <w:tc>
          <w:tcPr>
            <w:tcW w:w="1056" w:type="dxa"/>
            <w:vMerge/>
            <w:tcBorders>
              <w:top w:val="single" w:sz="4" w:space="0" w:color="000000"/>
              <w:left w:val="single" w:sz="4" w:space="0" w:color="000000"/>
              <w:bottom w:val="single" w:sz="4" w:space="0" w:color="000000"/>
              <w:right w:val="single" w:sz="4" w:space="0" w:color="auto"/>
            </w:tcBorders>
            <w:vAlign w:val="center"/>
          </w:tcPr>
          <w:p w:rsidR="002C2F4D" w:rsidRDefault="002C2F4D">
            <w:pPr>
              <w:adjustRightInd w:val="0"/>
              <w:snapToGrid w:val="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kern w:val="0"/>
                <w:sz w:val="24"/>
              </w:rPr>
            </w:pPr>
            <w:r>
              <w:rPr>
                <w:rFonts w:eastAsia="仿宋_GB2312" w:hint="eastAsia"/>
                <w:kern w:val="0"/>
                <w:sz w:val="24"/>
              </w:rPr>
              <w:t>婴儿死亡率（</w:t>
            </w:r>
            <w:r>
              <w:rPr>
                <w:rFonts w:eastAsia="仿宋_GB2312"/>
                <w:sz w:val="24"/>
              </w:rPr>
              <w:t>‰</w:t>
            </w:r>
            <w:r>
              <w:rPr>
                <w:rFonts w:eastAsia="仿宋_GB2312" w:hint="eastAsia"/>
                <w:kern w:val="0"/>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hint="eastAsia"/>
                <w:sz w:val="24"/>
              </w:rPr>
              <w:t>＜</w:t>
            </w:r>
            <w:r>
              <w:rPr>
                <w:sz w:val="24"/>
              </w:rPr>
              <w:t>6</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ascii="宋体" w:hAnsi="宋体" w:hint="eastAsia"/>
                <w:sz w:val="24"/>
              </w:rPr>
              <w:t>≤</w:t>
            </w:r>
            <w:r>
              <w:rPr>
                <w:sz w:val="24"/>
              </w:rPr>
              <w:t>5</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09"/>
          <w:jc w:val="center"/>
        </w:trPr>
        <w:tc>
          <w:tcPr>
            <w:tcW w:w="1056" w:type="dxa"/>
            <w:vMerge/>
            <w:tcBorders>
              <w:top w:val="single" w:sz="4" w:space="0" w:color="000000"/>
              <w:left w:val="single" w:sz="4" w:space="0" w:color="000000"/>
              <w:bottom w:val="single" w:sz="4" w:space="0" w:color="000000"/>
              <w:right w:val="single" w:sz="4" w:space="0" w:color="auto"/>
            </w:tcBorders>
            <w:vAlign w:val="center"/>
          </w:tcPr>
          <w:p w:rsidR="002C2F4D" w:rsidRDefault="002C2F4D">
            <w:pPr>
              <w:adjustRightInd w:val="0"/>
              <w:snapToGrid w:val="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kern w:val="0"/>
                <w:sz w:val="24"/>
              </w:rPr>
              <w:t>居民电子健康档案建档率</w:t>
            </w:r>
            <w:r>
              <w:rPr>
                <w:rFonts w:eastAsia="仿宋_GB2312" w:hint="eastAsia"/>
                <w:sz w:val="24"/>
              </w:rPr>
              <w:t>（</w:t>
            </w:r>
            <w:r>
              <w:rPr>
                <w:rFonts w:eastAsia="仿宋_GB2312"/>
                <w:sz w:val="24"/>
              </w:rPr>
              <w:t>%</w:t>
            </w:r>
            <w:r>
              <w:rPr>
                <w:rFonts w:eastAsia="仿宋_GB2312" w:hint="eastAsia"/>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80</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ascii="宋体" w:hAnsi="宋体" w:hint="eastAsia"/>
                <w:sz w:val="24"/>
              </w:rPr>
              <w:t>≥</w:t>
            </w:r>
            <w:r>
              <w:rPr>
                <w:sz w:val="24"/>
              </w:rPr>
              <w:t>90</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397"/>
          <w:jc w:val="center"/>
        </w:trPr>
        <w:tc>
          <w:tcPr>
            <w:tcW w:w="1056" w:type="dxa"/>
            <w:vMerge/>
            <w:tcBorders>
              <w:top w:val="single" w:sz="4" w:space="0" w:color="000000"/>
              <w:left w:val="single" w:sz="4" w:space="0" w:color="000000"/>
              <w:bottom w:val="single" w:sz="4" w:space="0" w:color="000000"/>
              <w:right w:val="single" w:sz="4" w:space="0" w:color="auto"/>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kern w:val="0"/>
                <w:sz w:val="24"/>
              </w:rPr>
              <w:t>突发公共卫生事件相关信息报告率</w:t>
            </w:r>
            <w:r>
              <w:rPr>
                <w:rFonts w:eastAsia="仿宋_GB2312" w:hint="eastAsia"/>
                <w:sz w:val="24"/>
              </w:rPr>
              <w:t>（</w:t>
            </w:r>
            <w:r>
              <w:rPr>
                <w:rFonts w:eastAsia="仿宋_GB2312"/>
                <w:sz w:val="24"/>
              </w:rPr>
              <w:t>%</w:t>
            </w:r>
            <w:r>
              <w:rPr>
                <w:rFonts w:eastAsia="仿宋_GB2312" w:hint="eastAsia"/>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100</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100</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约束</w:t>
            </w:r>
            <w:r>
              <w:rPr>
                <w:rFonts w:ascii="仿宋_GB2312" w:eastAsia="仿宋_GB2312" w:hAnsi="仿宋_GB2312" w:cs="仿宋_GB2312"/>
                <w:sz w:val="24"/>
              </w:rPr>
              <w:t>性</w:t>
            </w:r>
          </w:p>
        </w:tc>
      </w:tr>
      <w:tr w:rsidR="002C2F4D">
        <w:trPr>
          <w:cantSplit/>
          <w:trHeight w:val="396"/>
          <w:jc w:val="center"/>
        </w:trPr>
        <w:tc>
          <w:tcPr>
            <w:tcW w:w="1056" w:type="dxa"/>
            <w:vMerge/>
            <w:tcBorders>
              <w:top w:val="single" w:sz="4" w:space="0" w:color="000000"/>
              <w:left w:val="single" w:sz="4" w:space="0" w:color="000000"/>
              <w:bottom w:val="single" w:sz="4" w:space="0" w:color="000000"/>
              <w:right w:val="single" w:sz="4" w:space="0" w:color="auto"/>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color w:val="000000"/>
                <w:kern w:val="0"/>
                <w:sz w:val="24"/>
              </w:rPr>
              <w:t>每千人口拥有执业（助理）医师数</w:t>
            </w:r>
            <w:r>
              <w:rPr>
                <w:rFonts w:eastAsia="仿宋_GB2312" w:hint="eastAsia"/>
                <w:color w:val="000000"/>
                <w:kern w:val="0"/>
                <w:sz w:val="24"/>
              </w:rPr>
              <w:t>（人）</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3.14</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3.5</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1796"/>
          <w:jc w:val="center"/>
        </w:trPr>
        <w:tc>
          <w:tcPr>
            <w:tcW w:w="1056" w:type="dxa"/>
            <w:tcBorders>
              <w:left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基本住房保障</w:t>
            </w:r>
          </w:p>
        </w:tc>
        <w:tc>
          <w:tcPr>
            <w:tcW w:w="454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农村困难群众危房改造</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对主动申请且符合条件的农村困难群众危房应改尽改</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对主动申请且符合条件的农村困难群众危房应改尽改</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hint="eastAsia"/>
                <w:sz w:val="24"/>
              </w:rPr>
              <w:t>约束性</w:t>
            </w:r>
          </w:p>
        </w:tc>
      </w:tr>
      <w:tr w:rsidR="002C2F4D">
        <w:trPr>
          <w:cantSplit/>
          <w:trHeight w:val="411"/>
          <w:jc w:val="center"/>
        </w:trPr>
        <w:tc>
          <w:tcPr>
            <w:tcW w:w="1056" w:type="dxa"/>
            <w:vMerge w:val="restart"/>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基本公共文化体育</w:t>
            </w:r>
          </w:p>
        </w:tc>
        <w:tc>
          <w:tcPr>
            <w:tcW w:w="454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每万人拥有公共文化设施面积（平方米）</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eastAsia="仿宋_GB2312"/>
                <w:sz w:val="24"/>
              </w:rPr>
            </w:pPr>
            <w:r>
              <w:rPr>
                <w:rFonts w:eastAsia="仿宋_GB2312" w:hint="eastAsia"/>
                <w:sz w:val="24"/>
              </w:rPr>
              <w:t>2</w:t>
            </w:r>
            <w:r>
              <w:rPr>
                <w:sz w:val="24"/>
              </w:rPr>
              <w:t>76.7</w:t>
            </w:r>
            <w:r>
              <w:rPr>
                <w:rFonts w:hint="eastAsia"/>
                <w:sz w:val="24"/>
              </w:rPr>
              <w:t>*</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eastAsia="仿宋_GB2312"/>
                <w:sz w:val="24"/>
              </w:rPr>
            </w:pPr>
            <w:r>
              <w:rPr>
                <w:rFonts w:eastAsia="仿宋_GB2312"/>
                <w:sz w:val="24"/>
              </w:rPr>
              <w:t>1200</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09"/>
          <w:jc w:val="center"/>
        </w:trPr>
        <w:tc>
          <w:tcPr>
            <w:tcW w:w="1056" w:type="dxa"/>
            <w:vMerge/>
            <w:tcBorders>
              <w:top w:val="single" w:sz="4" w:space="0" w:color="000000"/>
              <w:left w:val="single" w:sz="4" w:space="0" w:color="000000"/>
              <w:bottom w:val="single" w:sz="4" w:space="0" w:color="000000"/>
              <w:right w:val="single" w:sz="4" w:space="0" w:color="000000"/>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人均拥有公共图书馆藏量（册）</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eastAsia="仿宋_GB2312"/>
                <w:sz w:val="24"/>
              </w:rPr>
            </w:pPr>
            <w:r>
              <w:rPr>
                <w:rFonts w:eastAsia="仿宋_GB2312" w:hint="eastAsia"/>
                <w:sz w:val="24"/>
              </w:rPr>
              <w:t>1.34*</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eastAsia="仿宋_GB2312"/>
                <w:sz w:val="24"/>
              </w:rPr>
            </w:pPr>
            <w:r>
              <w:rPr>
                <w:rFonts w:eastAsia="仿宋_GB2312"/>
                <w:sz w:val="24"/>
              </w:rPr>
              <w:t>1.5</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22"/>
          <w:jc w:val="center"/>
        </w:trPr>
        <w:tc>
          <w:tcPr>
            <w:tcW w:w="1056" w:type="dxa"/>
            <w:vMerge/>
            <w:tcBorders>
              <w:top w:val="single" w:sz="4" w:space="0" w:color="000000"/>
              <w:left w:val="single" w:sz="4" w:space="0" w:color="000000"/>
              <w:bottom w:val="single" w:sz="4" w:space="0" w:color="000000"/>
              <w:right w:val="single" w:sz="4" w:space="0" w:color="000000"/>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kern w:val="0"/>
                <w:sz w:val="24"/>
              </w:rPr>
              <w:t>国民综合阅读率</w:t>
            </w:r>
            <w:r>
              <w:rPr>
                <w:rFonts w:eastAsia="仿宋_GB2312" w:hint="eastAsia"/>
                <w:sz w:val="24"/>
              </w:rPr>
              <w:t>（</w:t>
            </w:r>
            <w:r>
              <w:rPr>
                <w:rFonts w:eastAsia="仿宋_GB2312"/>
                <w:sz w:val="24"/>
              </w:rPr>
              <w:t>%</w:t>
            </w:r>
            <w:r>
              <w:rPr>
                <w:rFonts w:eastAsia="仿宋_GB2312" w:hint="eastAsia"/>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hint="eastAsia"/>
                <w:sz w:val="24"/>
              </w:rPr>
              <w:t>81.6</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82</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09"/>
          <w:jc w:val="center"/>
        </w:trPr>
        <w:tc>
          <w:tcPr>
            <w:tcW w:w="1056" w:type="dxa"/>
            <w:vMerge/>
            <w:tcBorders>
              <w:top w:val="single" w:sz="4" w:space="0" w:color="000000"/>
              <w:left w:val="single" w:sz="4" w:space="0" w:color="000000"/>
              <w:bottom w:val="single" w:sz="4" w:space="0" w:color="000000"/>
              <w:right w:val="single" w:sz="4" w:space="0" w:color="000000"/>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kern w:val="0"/>
                <w:sz w:val="24"/>
              </w:rPr>
            </w:pPr>
            <w:r>
              <w:rPr>
                <w:rFonts w:eastAsia="仿宋_GB2312" w:hint="eastAsia"/>
                <w:kern w:val="0"/>
                <w:sz w:val="24"/>
              </w:rPr>
              <w:t>新建住宅有线电视网络覆盖率（</w:t>
            </w:r>
            <w:r>
              <w:rPr>
                <w:rFonts w:eastAsia="仿宋_GB2312"/>
                <w:kern w:val="0"/>
                <w:sz w:val="24"/>
              </w:rPr>
              <w:t>%</w:t>
            </w:r>
            <w:r>
              <w:rPr>
                <w:rFonts w:eastAsia="仿宋_GB2312" w:hint="eastAsia"/>
                <w:kern w:val="0"/>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95</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100</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09"/>
          <w:jc w:val="center"/>
        </w:trPr>
        <w:tc>
          <w:tcPr>
            <w:tcW w:w="1056" w:type="dxa"/>
            <w:vMerge/>
            <w:tcBorders>
              <w:top w:val="single" w:sz="4" w:space="0" w:color="000000"/>
              <w:left w:val="single" w:sz="4" w:space="0" w:color="000000"/>
              <w:bottom w:val="single" w:sz="4" w:space="0" w:color="000000"/>
              <w:right w:val="single" w:sz="4" w:space="0" w:color="000000"/>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人均体育场地面积（平方米）</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2.35</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2.6</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484"/>
          <w:jc w:val="center"/>
        </w:trPr>
        <w:tc>
          <w:tcPr>
            <w:tcW w:w="1056" w:type="dxa"/>
            <w:vMerge/>
            <w:tcBorders>
              <w:top w:val="single" w:sz="4" w:space="0" w:color="000000"/>
              <w:left w:val="single" w:sz="4" w:space="0" w:color="000000"/>
              <w:bottom w:val="single" w:sz="4" w:space="0" w:color="000000"/>
              <w:right w:val="single" w:sz="4" w:space="0" w:color="000000"/>
            </w:tcBorders>
            <w:vAlign w:val="center"/>
          </w:tcPr>
          <w:p w:rsidR="002C2F4D" w:rsidRDefault="002C2F4D">
            <w:pPr>
              <w:adjustRightInd w:val="0"/>
              <w:snapToGrid w:val="0"/>
              <w:ind w:firstLine="400"/>
              <w:rPr>
                <w:rFonts w:eastAsia="仿宋_GB2312"/>
                <w:sz w:val="24"/>
              </w:rPr>
            </w:pPr>
          </w:p>
        </w:tc>
        <w:tc>
          <w:tcPr>
            <w:tcW w:w="454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经常参加体育锻炼人数占比（</w:t>
            </w:r>
            <w:r>
              <w:rPr>
                <w:rFonts w:eastAsia="仿宋_GB2312"/>
                <w:sz w:val="24"/>
              </w:rPr>
              <w:t>%</w:t>
            </w:r>
            <w:r>
              <w:rPr>
                <w:rFonts w:eastAsia="仿宋_GB2312" w:hint="eastAsia"/>
                <w:sz w:val="24"/>
              </w:rPr>
              <w:t>）</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sz w:val="24"/>
              </w:rPr>
              <w:t>45</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sz w:val="24"/>
              </w:rPr>
            </w:pPr>
            <w:r>
              <w:rPr>
                <w:rFonts w:hint="eastAsia"/>
                <w:sz w:val="24"/>
              </w:rPr>
              <w:t>＞</w:t>
            </w:r>
            <w:r>
              <w:rPr>
                <w:sz w:val="24"/>
              </w:rPr>
              <w:t>45</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预期性</w:t>
            </w:r>
          </w:p>
        </w:tc>
      </w:tr>
      <w:tr w:rsidR="002C2F4D">
        <w:trPr>
          <w:cantSplit/>
          <w:trHeight w:val="1650"/>
          <w:jc w:val="center"/>
        </w:trPr>
        <w:tc>
          <w:tcPr>
            <w:tcW w:w="1056" w:type="dxa"/>
            <w:vMerge w:val="restart"/>
            <w:tcBorders>
              <w:top w:val="single" w:sz="4" w:space="0" w:color="000000"/>
              <w:left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残疾人基本公共服务</w:t>
            </w:r>
          </w:p>
        </w:tc>
        <w:tc>
          <w:tcPr>
            <w:tcW w:w="454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重度残疾人护理补贴目标人群覆盖率</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对主动申请且符合条件的残疾人实现全覆盖</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对主动申请且符合条件的残疾人实现全覆盖</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约束性</w:t>
            </w:r>
          </w:p>
        </w:tc>
      </w:tr>
      <w:tr w:rsidR="002C2F4D">
        <w:trPr>
          <w:cantSplit/>
          <w:trHeight w:val="1699"/>
          <w:jc w:val="center"/>
        </w:trPr>
        <w:tc>
          <w:tcPr>
            <w:tcW w:w="1056" w:type="dxa"/>
            <w:vMerge/>
            <w:tcBorders>
              <w:left w:val="single" w:sz="4" w:space="0" w:color="000000"/>
              <w:right w:val="single" w:sz="4" w:space="0" w:color="000000"/>
            </w:tcBorders>
            <w:vAlign w:val="center"/>
          </w:tcPr>
          <w:p w:rsidR="002C2F4D" w:rsidRDefault="002C2F4D">
            <w:pPr>
              <w:adjustRightInd w:val="0"/>
              <w:snapToGrid w:val="0"/>
              <w:rPr>
                <w:rFonts w:eastAsia="仿宋_GB2312"/>
                <w:sz w:val="24"/>
              </w:rPr>
            </w:pPr>
          </w:p>
        </w:tc>
        <w:tc>
          <w:tcPr>
            <w:tcW w:w="454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困难残疾人生活补贴目标人群覆盖率</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对主动申请且符合条件的残疾人实现全覆盖</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对主动申请且符合条件的残疾人实现全覆盖</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约束性</w:t>
            </w:r>
          </w:p>
        </w:tc>
      </w:tr>
      <w:tr w:rsidR="002C2F4D">
        <w:trPr>
          <w:cantSplit/>
          <w:trHeight w:val="2258"/>
          <w:jc w:val="center"/>
        </w:trPr>
        <w:tc>
          <w:tcPr>
            <w:tcW w:w="1056" w:type="dxa"/>
            <w:vMerge/>
            <w:tcBorders>
              <w:left w:val="single" w:sz="4" w:space="0" w:color="000000"/>
              <w:bottom w:val="single" w:sz="4" w:space="0" w:color="000000"/>
              <w:right w:val="single" w:sz="4" w:space="0" w:color="000000"/>
            </w:tcBorders>
            <w:vAlign w:val="center"/>
          </w:tcPr>
          <w:p w:rsidR="002C2F4D" w:rsidRDefault="002C2F4D">
            <w:pPr>
              <w:adjustRightInd w:val="0"/>
              <w:snapToGrid w:val="0"/>
              <w:rPr>
                <w:rFonts w:eastAsia="仿宋_GB2312"/>
                <w:sz w:val="24"/>
              </w:rPr>
            </w:pPr>
          </w:p>
        </w:tc>
        <w:tc>
          <w:tcPr>
            <w:tcW w:w="454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kern w:val="0"/>
                <w:sz w:val="24"/>
              </w:rPr>
              <w:t>残疾人基本康复服务覆盖率</w:t>
            </w:r>
          </w:p>
        </w:tc>
        <w:tc>
          <w:tcPr>
            <w:tcW w:w="154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符合条件的残疾儿童和持证残疾人基本康复服务覆盖率达到</w:t>
            </w:r>
            <w:r>
              <w:rPr>
                <w:rFonts w:eastAsia="仿宋_GB2312"/>
                <w:sz w:val="24"/>
              </w:rPr>
              <w:t>80%</w:t>
            </w:r>
          </w:p>
        </w:tc>
        <w:tc>
          <w:tcPr>
            <w:tcW w:w="14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符合条件的残疾儿童和持证残疾人基本康复服务覆盖率达到</w:t>
            </w:r>
            <w:r>
              <w:rPr>
                <w:rFonts w:eastAsia="仿宋_GB2312"/>
                <w:sz w:val="24"/>
              </w:rPr>
              <w:t>85%</w:t>
            </w:r>
            <w:r>
              <w:rPr>
                <w:rFonts w:eastAsia="仿宋_GB2312" w:hint="eastAsia"/>
                <w:sz w:val="24"/>
              </w:rPr>
              <w:t>以上</w:t>
            </w:r>
          </w:p>
        </w:tc>
        <w:tc>
          <w:tcPr>
            <w:tcW w:w="1226"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仿宋_GB2312" w:eastAsia="仿宋_GB2312" w:hAnsi="仿宋_GB2312" w:cs="仿宋_GB2312"/>
                <w:sz w:val="24"/>
              </w:rPr>
            </w:pPr>
            <w:r>
              <w:rPr>
                <w:rFonts w:ascii="仿宋_GB2312" w:eastAsia="仿宋_GB2312" w:hAnsi="仿宋_GB2312" w:cs="仿宋_GB2312"/>
                <w:sz w:val="24"/>
              </w:rPr>
              <w:t>约束性</w:t>
            </w:r>
          </w:p>
        </w:tc>
      </w:tr>
    </w:tbl>
    <w:p w:rsidR="002C2F4D" w:rsidRDefault="00061D81" w:rsidP="00FA6DB5">
      <w:pPr>
        <w:pStyle w:val="3"/>
        <w:keepNext w:val="0"/>
        <w:keepLines w:val="0"/>
        <w:adjustRightInd w:val="0"/>
        <w:spacing w:before="0" w:afterLines="50" w:after="144" w:line="240" w:lineRule="auto"/>
        <w:rPr>
          <w:rFonts w:eastAsia="仿宋_GB2312"/>
          <w:b w:val="0"/>
          <w:bCs w:val="0"/>
          <w:sz w:val="24"/>
          <w:szCs w:val="24"/>
        </w:rPr>
      </w:pPr>
      <w:bookmarkStart w:id="11" w:name="_Toc65837387"/>
      <w:bookmarkEnd w:id="10"/>
      <w:r>
        <w:rPr>
          <w:rFonts w:ascii="仿宋_GB2312" w:eastAsia="仿宋_GB2312" w:hint="eastAsia"/>
          <w:b w:val="0"/>
          <w:bCs w:val="0"/>
          <w:sz w:val="24"/>
          <w:szCs w:val="24"/>
        </w:rPr>
        <w:t>注：</w:t>
      </w:r>
      <w:r>
        <w:rPr>
          <w:rFonts w:eastAsia="仿宋_GB2312" w:hint="eastAsia"/>
          <w:b w:val="0"/>
          <w:bCs w:val="0"/>
          <w:sz w:val="24"/>
          <w:szCs w:val="24"/>
        </w:rPr>
        <w:t>标</w:t>
      </w:r>
      <w:r>
        <w:rPr>
          <w:rFonts w:eastAsia="仿宋_GB2312"/>
          <w:b w:val="0"/>
          <w:bCs w:val="0"/>
          <w:sz w:val="24"/>
          <w:szCs w:val="24"/>
        </w:rPr>
        <w:t>*</w:t>
      </w:r>
      <w:r>
        <w:rPr>
          <w:rFonts w:eastAsia="仿宋_GB2312" w:hint="eastAsia"/>
          <w:b w:val="0"/>
          <w:bCs w:val="0"/>
          <w:sz w:val="24"/>
          <w:szCs w:val="24"/>
        </w:rPr>
        <w:t>为</w:t>
      </w:r>
      <w:r>
        <w:rPr>
          <w:rFonts w:eastAsia="仿宋_GB2312"/>
          <w:b w:val="0"/>
          <w:bCs w:val="0"/>
          <w:sz w:val="24"/>
          <w:szCs w:val="24"/>
        </w:rPr>
        <w:t>2019</w:t>
      </w:r>
      <w:r>
        <w:rPr>
          <w:rFonts w:eastAsia="仿宋_GB2312" w:hint="eastAsia"/>
          <w:b w:val="0"/>
          <w:bCs w:val="0"/>
          <w:sz w:val="24"/>
          <w:szCs w:val="24"/>
        </w:rPr>
        <w:t>年数据。另人均预期寿命以户籍人口为统计对象。</w:t>
      </w:r>
    </w:p>
    <w:p w:rsidR="002C2F4D" w:rsidRDefault="002C2F4D">
      <w:pPr>
        <w:rPr>
          <w:sz w:val="32"/>
          <w:szCs w:val="32"/>
        </w:rPr>
      </w:pPr>
    </w:p>
    <w:p w:rsidR="002C2F4D" w:rsidRDefault="00061D81">
      <w:pPr>
        <w:pStyle w:val="3"/>
        <w:keepNext w:val="0"/>
        <w:keepLines w:val="0"/>
        <w:adjustRightInd w:val="0"/>
        <w:spacing w:before="0" w:after="0" w:line="240" w:lineRule="auto"/>
        <w:jc w:val="center"/>
        <w:rPr>
          <w:rFonts w:ascii="黑体" w:eastAsia="黑体" w:hAnsi="黑体" w:cs="黑体"/>
          <w:b w:val="0"/>
          <w:bCs w:val="0"/>
        </w:rPr>
      </w:pPr>
      <w:r>
        <w:rPr>
          <w:rFonts w:ascii="黑体" w:eastAsia="黑体" w:hAnsi="黑体" w:cs="黑体" w:hint="eastAsia"/>
          <w:b w:val="0"/>
          <w:bCs w:val="0"/>
        </w:rPr>
        <w:t>第四节</w:t>
      </w:r>
      <w:r>
        <w:rPr>
          <w:rFonts w:ascii="黑体" w:eastAsia="黑体" w:hAnsi="黑体" w:cs="黑体" w:hint="eastAsia"/>
          <w:b w:val="0"/>
          <w:bCs w:val="0"/>
        </w:rPr>
        <w:t xml:space="preserve">  </w:t>
      </w:r>
      <w:r>
        <w:rPr>
          <w:rFonts w:ascii="黑体" w:eastAsia="黑体" w:hAnsi="黑体" w:cs="黑体" w:hint="eastAsia"/>
          <w:b w:val="0"/>
          <w:bCs w:val="0"/>
        </w:rPr>
        <w:t>项目框架</w:t>
      </w:r>
      <w:bookmarkEnd w:id="11"/>
    </w:p>
    <w:p w:rsidR="002C2F4D" w:rsidRDefault="002C2F4D">
      <w:pPr>
        <w:rPr>
          <w:sz w:val="32"/>
          <w:szCs w:val="32"/>
        </w:rPr>
      </w:pPr>
    </w:p>
    <w:p w:rsidR="002C2F4D" w:rsidRDefault="00061D81" w:rsidP="00FA6DB5">
      <w:pPr>
        <w:adjustRightInd w:val="0"/>
        <w:ind w:firstLineChars="200" w:firstLine="622"/>
        <w:rPr>
          <w:rFonts w:ascii="仿宋_GB2312" w:eastAsia="仿宋_GB2312" w:hAnsi="仿宋"/>
          <w:sz w:val="32"/>
          <w:szCs w:val="32"/>
        </w:rPr>
      </w:pPr>
      <w:r>
        <w:rPr>
          <w:rFonts w:ascii="仿宋_GB2312" w:eastAsia="仿宋_GB2312" w:hAnsi="仿宋" w:hint="eastAsia"/>
          <w:sz w:val="32"/>
          <w:szCs w:val="32"/>
        </w:rPr>
        <w:t>为保障全民基本生存和发展权利，根据经济社会发展情况，“十四五”时期，天津围绕“幼有所育、学有所教、劳有所得、病有所医、老有所养、住有所居、弱有所扶”的要求，</w:t>
      </w:r>
      <w:r>
        <w:rPr>
          <w:rFonts w:ascii="仿宋_GB2312" w:eastAsia="仿宋_GB2312" w:hAnsi="仿宋"/>
          <w:sz w:val="32"/>
          <w:szCs w:val="32"/>
        </w:rPr>
        <w:t>参照</w:t>
      </w:r>
      <w:r>
        <w:rPr>
          <w:rFonts w:ascii="仿宋_GB2312" w:eastAsia="仿宋_GB2312" w:hAnsi="仿宋" w:hint="eastAsia"/>
          <w:sz w:val="32"/>
          <w:szCs w:val="32"/>
        </w:rPr>
        <w:t>《</w:t>
      </w:r>
      <w:r>
        <w:rPr>
          <w:rFonts w:ascii="仿宋_GB2312" w:eastAsia="仿宋_GB2312" w:hAnsi="仿宋"/>
          <w:sz w:val="32"/>
          <w:szCs w:val="32"/>
        </w:rPr>
        <w:t>国家基本公共服务标准</w:t>
      </w:r>
      <w:r>
        <w:rPr>
          <w:rFonts w:ascii="仿宋_GB2312" w:eastAsia="仿宋_GB2312" w:hAnsi="仿宋" w:hint="eastAsia"/>
          <w:sz w:val="32"/>
          <w:szCs w:val="32"/>
        </w:rPr>
        <w:t>（</w:t>
      </w:r>
      <w:r>
        <w:rPr>
          <w:rFonts w:eastAsia="仿宋_GB2312" w:hint="eastAsia"/>
          <w:sz w:val="32"/>
          <w:szCs w:val="32"/>
        </w:rPr>
        <w:t>2021</w:t>
      </w:r>
      <w:r>
        <w:rPr>
          <w:rFonts w:ascii="仿宋_GB2312" w:eastAsia="仿宋_GB2312" w:hAnsi="仿宋" w:hint="eastAsia"/>
          <w:sz w:val="32"/>
          <w:szCs w:val="32"/>
        </w:rPr>
        <w:t>年版）》</w:t>
      </w:r>
      <w:r>
        <w:rPr>
          <w:rFonts w:ascii="仿宋_GB2312" w:eastAsia="仿宋_GB2312" w:hAnsi="仿宋"/>
          <w:sz w:val="32"/>
          <w:szCs w:val="32"/>
        </w:rPr>
        <w:t>，</w:t>
      </w:r>
      <w:r>
        <w:rPr>
          <w:rFonts w:ascii="仿宋_GB2312" w:eastAsia="仿宋_GB2312" w:hAnsi="仿宋" w:hint="eastAsia"/>
          <w:sz w:val="32"/>
          <w:szCs w:val="32"/>
        </w:rPr>
        <w:t>提供</w:t>
      </w:r>
      <w:r>
        <w:rPr>
          <w:rFonts w:eastAsia="仿宋_GB2312" w:hint="eastAsia"/>
          <w:sz w:val="32"/>
          <w:szCs w:val="32"/>
        </w:rPr>
        <w:t>94</w:t>
      </w:r>
      <w:r>
        <w:rPr>
          <w:rFonts w:ascii="仿宋_GB2312" w:eastAsia="仿宋_GB2312" w:hAnsi="仿宋"/>
          <w:sz w:val="32"/>
          <w:szCs w:val="32"/>
        </w:rPr>
        <w:t>项基本公共服务</w:t>
      </w:r>
      <w:r>
        <w:rPr>
          <w:rFonts w:ascii="仿宋_GB2312" w:eastAsia="仿宋_GB2312" w:hAnsi="仿宋" w:hint="eastAsia"/>
          <w:sz w:val="32"/>
          <w:szCs w:val="32"/>
        </w:rPr>
        <w:t>，并统筹考虑经济社会发展水平和财政保障能力等因素，对基本公共服务标准实施动态调整</w:t>
      </w:r>
      <w:r>
        <w:rPr>
          <w:rFonts w:ascii="仿宋_GB2312" w:eastAsia="仿宋_GB2312" w:hAnsi="仿宋"/>
          <w:sz w:val="32"/>
          <w:szCs w:val="32"/>
        </w:rPr>
        <w:t>。</w:t>
      </w:r>
    </w:p>
    <w:p w:rsidR="002C2F4D" w:rsidRDefault="00061D81" w:rsidP="00FA6DB5">
      <w:pPr>
        <w:adjustRightInd w:val="0"/>
        <w:spacing w:beforeLines="100" w:before="289"/>
        <w:jc w:val="center"/>
        <w:rPr>
          <w:rFonts w:ascii="黑体" w:eastAsia="黑体" w:hAnsi="黑体" w:cs="黑体"/>
          <w:kern w:val="0"/>
          <w:sz w:val="32"/>
          <w:szCs w:val="32"/>
        </w:rPr>
      </w:pPr>
      <w:r>
        <w:rPr>
          <w:rFonts w:ascii="黑体" w:eastAsia="黑体" w:hAnsi="黑体" w:cs="黑体"/>
          <w:kern w:val="0"/>
          <w:sz w:val="32"/>
          <w:szCs w:val="32"/>
        </w:rPr>
        <w:t>“</w:t>
      </w:r>
      <w:r>
        <w:rPr>
          <w:rFonts w:ascii="黑体" w:eastAsia="黑体" w:hAnsi="黑体" w:cs="黑体"/>
          <w:kern w:val="0"/>
          <w:sz w:val="32"/>
          <w:szCs w:val="32"/>
        </w:rPr>
        <w:t>十四五</w:t>
      </w:r>
      <w:r>
        <w:rPr>
          <w:rFonts w:ascii="黑体" w:eastAsia="黑体" w:hAnsi="黑体" w:cs="黑体"/>
          <w:kern w:val="0"/>
          <w:sz w:val="32"/>
          <w:szCs w:val="32"/>
        </w:rPr>
        <w:t>”</w:t>
      </w:r>
      <w:r>
        <w:rPr>
          <w:rFonts w:ascii="黑体" w:eastAsia="黑体" w:hAnsi="黑体" w:cs="黑体"/>
          <w:kern w:val="0"/>
          <w:sz w:val="32"/>
          <w:szCs w:val="32"/>
        </w:rPr>
        <w:t>时期天津市基本公共服务项目清单</w:t>
      </w:r>
    </w:p>
    <w:tbl>
      <w:tblPr>
        <w:tblW w:w="90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37"/>
        <w:gridCol w:w="2718"/>
        <w:gridCol w:w="5100"/>
      </w:tblGrid>
      <w:tr w:rsidR="002C2F4D">
        <w:trPr>
          <w:cantSplit/>
          <w:trHeight w:val="531"/>
          <w:tblHeader/>
          <w:jc w:val="center"/>
        </w:trPr>
        <w:tc>
          <w:tcPr>
            <w:tcW w:w="1237" w:type="dxa"/>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服务类别</w:t>
            </w:r>
          </w:p>
        </w:tc>
        <w:tc>
          <w:tcPr>
            <w:tcW w:w="2718"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服务内容与目标</w:t>
            </w:r>
          </w:p>
        </w:tc>
        <w:tc>
          <w:tcPr>
            <w:tcW w:w="51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服务项目</w:t>
            </w:r>
          </w:p>
        </w:tc>
      </w:tr>
      <w:tr w:rsidR="002C2F4D">
        <w:trPr>
          <w:cantSplit/>
          <w:trHeight w:val="198"/>
          <w:jc w:val="center"/>
        </w:trPr>
        <w:tc>
          <w:tcPr>
            <w:tcW w:w="1237" w:type="dxa"/>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jc w:val="center"/>
              <w:rPr>
                <w:rFonts w:eastAsia="仿宋_GB2312"/>
                <w:sz w:val="24"/>
              </w:rPr>
            </w:pPr>
            <w:r>
              <w:rPr>
                <w:rFonts w:eastAsia="仿宋_GB2312" w:hint="eastAsia"/>
                <w:sz w:val="24"/>
              </w:rPr>
              <w:t>幼有所育</w:t>
            </w:r>
          </w:p>
        </w:tc>
        <w:tc>
          <w:tcPr>
            <w:tcW w:w="2718"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为城乡居民提供优生优育、生殖健康服务，保障城乡育龄人群身心健康；为儿童提供关爱和基本生活保障服务，保障儿童健康成长。</w:t>
            </w:r>
          </w:p>
        </w:tc>
        <w:tc>
          <w:tcPr>
            <w:tcW w:w="51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免费孕前优生健康检查、孕产妇健康服务、基本避孕服务、预防接种、儿童健康管理、特殊儿童群体基本生活保障、困境儿童保障、农村留守儿童关爱保护、未成年人救助保护、儿童福利机构集中供养成年孤儿社会安置保障（共计</w:t>
            </w:r>
            <w:r>
              <w:rPr>
                <w:rFonts w:eastAsia="仿宋_GB2312"/>
                <w:sz w:val="24"/>
              </w:rPr>
              <w:t>1</w:t>
            </w:r>
            <w:r>
              <w:rPr>
                <w:rFonts w:eastAsia="仿宋_GB2312" w:hint="eastAsia"/>
                <w:sz w:val="24"/>
              </w:rPr>
              <w:t>0</w:t>
            </w:r>
            <w:r>
              <w:rPr>
                <w:rFonts w:eastAsia="仿宋_GB2312" w:hint="eastAsia"/>
                <w:sz w:val="24"/>
              </w:rPr>
              <w:t>项）</w:t>
            </w:r>
          </w:p>
        </w:tc>
      </w:tr>
      <w:tr w:rsidR="002C2F4D">
        <w:trPr>
          <w:cantSplit/>
          <w:trHeight w:val="340"/>
          <w:jc w:val="center"/>
        </w:trPr>
        <w:tc>
          <w:tcPr>
            <w:tcW w:w="1237" w:type="dxa"/>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jc w:val="center"/>
              <w:rPr>
                <w:rFonts w:eastAsia="仿宋_GB2312"/>
                <w:sz w:val="24"/>
              </w:rPr>
            </w:pPr>
            <w:r>
              <w:rPr>
                <w:rFonts w:eastAsia="仿宋_GB2312" w:hint="eastAsia"/>
                <w:sz w:val="24"/>
              </w:rPr>
              <w:t>学有所教</w:t>
            </w:r>
          </w:p>
        </w:tc>
        <w:tc>
          <w:tcPr>
            <w:tcW w:w="2718"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为适龄儿童、少年提供免费九年义务教育，提供教育资助服务，保障适龄儿童、少年享有平等受教育权利。</w:t>
            </w:r>
          </w:p>
        </w:tc>
        <w:tc>
          <w:tcPr>
            <w:tcW w:w="51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义务教育阶段免除学杂费、义务教育免费提供教科书、义务教育家庭经济困难学生生活补助、义务教育公用经费保障、中等职业教育免除学费、中等职业教育国家助学金、普通高中国家助学金、中等职业教育市政府助学金、普通高中免学杂费、学前教育幼儿资助（共计</w:t>
            </w:r>
            <w:r>
              <w:rPr>
                <w:rFonts w:eastAsia="仿宋_GB2312"/>
                <w:sz w:val="24"/>
              </w:rPr>
              <w:t>10</w:t>
            </w:r>
            <w:r>
              <w:rPr>
                <w:rFonts w:eastAsia="仿宋_GB2312" w:hint="eastAsia"/>
                <w:sz w:val="24"/>
              </w:rPr>
              <w:t>项）</w:t>
            </w:r>
          </w:p>
        </w:tc>
      </w:tr>
      <w:tr w:rsidR="002C2F4D">
        <w:trPr>
          <w:cantSplit/>
          <w:trHeight w:val="1507"/>
          <w:jc w:val="center"/>
        </w:trPr>
        <w:tc>
          <w:tcPr>
            <w:tcW w:w="1237" w:type="dxa"/>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jc w:val="center"/>
              <w:rPr>
                <w:rFonts w:eastAsia="仿宋_GB2312"/>
                <w:sz w:val="24"/>
              </w:rPr>
            </w:pPr>
            <w:r>
              <w:rPr>
                <w:rFonts w:eastAsia="仿宋_GB2312" w:hint="eastAsia"/>
                <w:sz w:val="24"/>
              </w:rPr>
              <w:t>劳有所得</w:t>
            </w:r>
          </w:p>
        </w:tc>
        <w:tc>
          <w:tcPr>
            <w:tcW w:w="2718"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为全体劳动者就业创造必要条件，加强劳动保护，改善劳动环境，保障合法权益，促进充分就业和构建和谐劳动关系。</w:t>
            </w:r>
          </w:p>
        </w:tc>
        <w:tc>
          <w:tcPr>
            <w:tcW w:w="51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就业信息服务，职业介绍、职业指导和创业开业指导，就业登记与失业登记，流动人员人事档案管理服务，就业见习服务，就业援助，职业技能培训、鉴定和生活费补贴，“</w:t>
            </w:r>
            <w:r>
              <w:rPr>
                <w:rFonts w:eastAsia="仿宋_GB2312"/>
                <w:sz w:val="24"/>
              </w:rPr>
              <w:t>12333</w:t>
            </w:r>
            <w:r>
              <w:rPr>
                <w:rFonts w:eastAsia="仿宋_GB2312" w:hint="eastAsia"/>
                <w:sz w:val="24"/>
              </w:rPr>
              <w:t>”人力资源和社会保障电话服务，劳动关系协调，劳动用工保障，失业保险，工伤保险，社会保障卡建设（共计</w:t>
            </w:r>
            <w:r>
              <w:rPr>
                <w:rFonts w:eastAsia="仿宋_GB2312"/>
                <w:sz w:val="24"/>
              </w:rPr>
              <w:t>13</w:t>
            </w:r>
            <w:r>
              <w:rPr>
                <w:rFonts w:eastAsia="仿宋_GB2312" w:hint="eastAsia"/>
                <w:sz w:val="24"/>
              </w:rPr>
              <w:t>项）</w:t>
            </w:r>
          </w:p>
        </w:tc>
      </w:tr>
      <w:tr w:rsidR="002C2F4D">
        <w:trPr>
          <w:cantSplit/>
          <w:trHeight w:val="1507"/>
          <w:jc w:val="center"/>
        </w:trPr>
        <w:tc>
          <w:tcPr>
            <w:tcW w:w="1237" w:type="dxa"/>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jc w:val="center"/>
              <w:rPr>
                <w:rFonts w:eastAsia="仿宋_GB2312"/>
                <w:sz w:val="24"/>
              </w:rPr>
            </w:pPr>
            <w:r>
              <w:rPr>
                <w:rFonts w:eastAsia="仿宋_GB2312" w:hint="eastAsia"/>
                <w:sz w:val="24"/>
              </w:rPr>
              <w:t>病有所医</w:t>
            </w:r>
          </w:p>
        </w:tc>
        <w:tc>
          <w:tcPr>
            <w:tcW w:w="2718"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为城乡居民提供安全、有效、方便、价廉的基本公共卫生和医疗服务，切实保障人民群众身体健康。</w:t>
            </w:r>
          </w:p>
        </w:tc>
        <w:tc>
          <w:tcPr>
            <w:tcW w:w="51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健康教育与健康素养促进、基本药物供应保障服务、食品药品安全保障、传染病及突发公共卫生事件报告和处理、慢性病患者健康管理、结核病患者健康管理、艾滋病病毒感染者和病人随访管理、社区易感染艾滋病高危行为人群干预、地方病患者健康管理、严重精神障碍患者健康管理、建立居民健康档案、农村符合条件的计划生育家庭奖励扶助、计划生育家庭特别扶助、卫生监督协管服务、职工基本医疗保险、城乡居民基本医疗保险（共计</w:t>
            </w:r>
            <w:r>
              <w:rPr>
                <w:rFonts w:eastAsia="仿宋_GB2312"/>
                <w:sz w:val="24"/>
              </w:rPr>
              <w:t>16</w:t>
            </w:r>
            <w:r>
              <w:rPr>
                <w:rFonts w:eastAsia="仿宋_GB2312" w:hint="eastAsia"/>
                <w:sz w:val="24"/>
              </w:rPr>
              <w:t>项）</w:t>
            </w:r>
          </w:p>
        </w:tc>
      </w:tr>
      <w:tr w:rsidR="002C2F4D">
        <w:trPr>
          <w:cantSplit/>
          <w:trHeight w:val="796"/>
          <w:jc w:val="center"/>
        </w:trPr>
        <w:tc>
          <w:tcPr>
            <w:tcW w:w="1237" w:type="dxa"/>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jc w:val="center"/>
              <w:rPr>
                <w:rFonts w:eastAsia="仿宋_GB2312"/>
                <w:sz w:val="24"/>
              </w:rPr>
            </w:pPr>
            <w:r>
              <w:rPr>
                <w:rFonts w:eastAsia="仿宋_GB2312" w:hint="eastAsia"/>
                <w:sz w:val="24"/>
              </w:rPr>
              <w:t>老有所养</w:t>
            </w:r>
          </w:p>
        </w:tc>
        <w:tc>
          <w:tcPr>
            <w:tcW w:w="2718"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为老年人提供基本养老服务，保障老年人安享晚年生活。</w:t>
            </w:r>
          </w:p>
        </w:tc>
        <w:tc>
          <w:tcPr>
            <w:tcW w:w="51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老年人健康管理、困难老年人居家养老服务（护理）补</w:t>
            </w:r>
            <w:r>
              <w:rPr>
                <w:rFonts w:eastAsia="仿宋_GB2312" w:hint="eastAsia"/>
                <w:sz w:val="24"/>
              </w:rPr>
              <w:t>贴、老年人助餐服务、职工基本养老保险、城乡居民基本养老保险、无丧葬补助居民丧葬补贴、节地生态安葬奖补、老年人福利补贴（共计</w:t>
            </w:r>
            <w:r>
              <w:rPr>
                <w:rFonts w:eastAsia="仿宋_GB2312" w:hint="eastAsia"/>
                <w:sz w:val="24"/>
              </w:rPr>
              <w:t>8</w:t>
            </w:r>
            <w:r>
              <w:rPr>
                <w:rFonts w:eastAsia="仿宋_GB2312" w:hint="eastAsia"/>
                <w:sz w:val="24"/>
              </w:rPr>
              <w:t>项）</w:t>
            </w:r>
          </w:p>
        </w:tc>
      </w:tr>
      <w:tr w:rsidR="002C2F4D">
        <w:trPr>
          <w:cantSplit/>
          <w:trHeight w:val="836"/>
          <w:jc w:val="center"/>
        </w:trPr>
        <w:tc>
          <w:tcPr>
            <w:tcW w:w="1237" w:type="dxa"/>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jc w:val="center"/>
              <w:rPr>
                <w:rFonts w:eastAsia="仿宋_GB2312"/>
                <w:sz w:val="24"/>
              </w:rPr>
            </w:pPr>
            <w:r>
              <w:rPr>
                <w:rFonts w:eastAsia="仿宋_GB2312" w:hint="eastAsia"/>
                <w:sz w:val="24"/>
              </w:rPr>
              <w:t>住有所居</w:t>
            </w:r>
          </w:p>
        </w:tc>
        <w:tc>
          <w:tcPr>
            <w:tcW w:w="2718"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保障公民居住权利，逐步满足城乡居民基本住房需求，实现住有所居。</w:t>
            </w:r>
          </w:p>
        </w:tc>
        <w:tc>
          <w:tcPr>
            <w:tcW w:w="51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农村困难群众危房改造、公租房保障（共计</w:t>
            </w:r>
            <w:r>
              <w:rPr>
                <w:rFonts w:eastAsia="仿宋_GB2312" w:hint="eastAsia"/>
                <w:sz w:val="24"/>
              </w:rPr>
              <w:t>2</w:t>
            </w:r>
            <w:r>
              <w:rPr>
                <w:rFonts w:eastAsia="仿宋_GB2312" w:hint="eastAsia"/>
                <w:sz w:val="24"/>
              </w:rPr>
              <w:t>项）</w:t>
            </w:r>
          </w:p>
        </w:tc>
      </w:tr>
      <w:tr w:rsidR="002C2F4D">
        <w:trPr>
          <w:cantSplit/>
          <w:trHeight w:val="3513"/>
          <w:jc w:val="center"/>
        </w:trPr>
        <w:tc>
          <w:tcPr>
            <w:tcW w:w="1237" w:type="dxa"/>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jc w:val="center"/>
              <w:rPr>
                <w:rFonts w:eastAsia="仿宋_GB2312"/>
                <w:sz w:val="24"/>
              </w:rPr>
            </w:pPr>
            <w:r>
              <w:rPr>
                <w:rFonts w:eastAsia="仿宋_GB2312" w:hint="eastAsia"/>
                <w:sz w:val="24"/>
              </w:rPr>
              <w:t>弱有所扶</w:t>
            </w:r>
          </w:p>
        </w:tc>
        <w:tc>
          <w:tcPr>
            <w:tcW w:w="2718"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为城乡居民尤其是困难群体的基本生活提供物质帮助，保障残疾人等特殊群体有尊严地生活和平等参与社会发展。</w:t>
            </w:r>
          </w:p>
        </w:tc>
        <w:tc>
          <w:tcPr>
            <w:tcW w:w="51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最低生活保障、特困人员救助供养、城乡低收入家庭救助、医疗救助、临时救助、受灾人员救助、流浪乞讨人员生活救助、法律援助、残疾人基本医疗保险缴费补贴、残疾人基本养老保险缴费补贴、残疾人基本医疗保障医疗康复项目、困难残疾人生活补贴和重度残疾人护理补贴、无业重度残疾人最低生活保障、</w:t>
            </w:r>
            <w:r>
              <w:rPr>
                <w:rFonts w:eastAsia="仿宋_GB2312" w:hint="eastAsia"/>
                <w:kern w:val="0"/>
                <w:sz w:val="24"/>
              </w:rPr>
              <w:t>残疾儿童及青少年教育</w:t>
            </w:r>
            <w:r>
              <w:rPr>
                <w:rFonts w:eastAsia="仿宋_GB2312" w:hint="eastAsia"/>
                <w:sz w:val="24"/>
              </w:rPr>
              <w:t>、残疾儿童康复救助、</w:t>
            </w:r>
            <w:r>
              <w:rPr>
                <w:rFonts w:eastAsia="仿宋_GB2312" w:hint="eastAsia"/>
                <w:kern w:val="0"/>
                <w:sz w:val="24"/>
              </w:rPr>
              <w:t>残疾人职业培训和</w:t>
            </w:r>
            <w:r>
              <w:rPr>
                <w:rFonts w:eastAsia="仿宋_GB2312" w:hint="eastAsia"/>
                <w:sz w:val="24"/>
              </w:rPr>
              <w:t>就业服务、残疾人文化体育服务、残疾人康复服务、残疾人辅助器具服务、残疾人法律援助、残疾人和老年人无障碍环境建设、残疾人托养服务（共计</w:t>
            </w:r>
            <w:r>
              <w:rPr>
                <w:rFonts w:eastAsia="仿宋_GB2312"/>
                <w:sz w:val="24"/>
              </w:rPr>
              <w:t>22</w:t>
            </w:r>
            <w:r>
              <w:rPr>
                <w:rFonts w:eastAsia="仿宋_GB2312" w:hint="eastAsia"/>
                <w:sz w:val="24"/>
              </w:rPr>
              <w:t>项）</w:t>
            </w:r>
          </w:p>
        </w:tc>
      </w:tr>
      <w:tr w:rsidR="002C2F4D">
        <w:trPr>
          <w:cantSplit/>
          <w:trHeight w:val="961"/>
          <w:jc w:val="center"/>
        </w:trPr>
        <w:tc>
          <w:tcPr>
            <w:tcW w:w="1237" w:type="dxa"/>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jc w:val="center"/>
              <w:rPr>
                <w:rFonts w:eastAsia="仿宋_GB2312"/>
                <w:sz w:val="24"/>
              </w:rPr>
            </w:pPr>
            <w:r>
              <w:rPr>
                <w:rFonts w:eastAsia="仿宋_GB2312" w:hint="eastAsia"/>
                <w:sz w:val="24"/>
              </w:rPr>
              <w:t>优军服务保障</w:t>
            </w:r>
          </w:p>
        </w:tc>
        <w:tc>
          <w:tcPr>
            <w:tcW w:w="2718"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提供优待抚恤、集中供养等服务，保障退役军人合法权益。</w:t>
            </w:r>
          </w:p>
        </w:tc>
        <w:tc>
          <w:tcPr>
            <w:tcW w:w="51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优待抚恤、退役军人安置、退役军人就业创业服务、特殊群体集中供养（共计</w:t>
            </w:r>
            <w:r>
              <w:rPr>
                <w:rFonts w:eastAsia="仿宋_GB2312"/>
                <w:sz w:val="24"/>
              </w:rPr>
              <w:t>4</w:t>
            </w:r>
            <w:r>
              <w:rPr>
                <w:rFonts w:eastAsia="仿宋_GB2312" w:hint="eastAsia"/>
                <w:sz w:val="24"/>
              </w:rPr>
              <w:t>项）</w:t>
            </w:r>
          </w:p>
        </w:tc>
      </w:tr>
      <w:tr w:rsidR="002C2F4D">
        <w:trPr>
          <w:cantSplit/>
          <w:trHeight w:val="1357"/>
          <w:jc w:val="center"/>
        </w:trPr>
        <w:tc>
          <w:tcPr>
            <w:tcW w:w="1237" w:type="dxa"/>
            <w:tcBorders>
              <w:top w:val="single" w:sz="4" w:space="0" w:color="000000"/>
              <w:left w:val="single" w:sz="4" w:space="0" w:color="000000"/>
              <w:bottom w:val="single" w:sz="4" w:space="0" w:color="000000"/>
              <w:right w:val="single" w:sz="4" w:space="0" w:color="auto"/>
            </w:tcBorders>
            <w:vAlign w:val="center"/>
          </w:tcPr>
          <w:p w:rsidR="002C2F4D" w:rsidRDefault="00061D81">
            <w:pPr>
              <w:adjustRightInd w:val="0"/>
              <w:snapToGrid w:val="0"/>
              <w:jc w:val="center"/>
              <w:rPr>
                <w:rFonts w:eastAsia="仿宋_GB2312"/>
                <w:sz w:val="24"/>
              </w:rPr>
            </w:pPr>
            <w:r>
              <w:rPr>
                <w:rFonts w:eastAsia="仿宋_GB2312" w:hint="eastAsia"/>
                <w:sz w:val="24"/>
              </w:rPr>
              <w:t>文体服务保障</w:t>
            </w:r>
          </w:p>
        </w:tc>
        <w:tc>
          <w:tcPr>
            <w:tcW w:w="2718"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为城乡居民提供多样化文化体育服务，保障人民群众参加大众文化活动和体育健身等权益。</w:t>
            </w:r>
          </w:p>
        </w:tc>
        <w:tc>
          <w:tcPr>
            <w:tcW w:w="5100"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公共文化设施免费开放、送戏曲下乡、少数民族文化服务、</w:t>
            </w:r>
            <w:r>
              <w:rPr>
                <w:rFonts w:ascii="仿宋_GB2312" w:eastAsia="仿宋_GB2312" w:hAnsi="仿宋_GB2312" w:cs="仿宋_GB2312" w:hint="eastAsia"/>
                <w:sz w:val="24"/>
              </w:rPr>
              <w:t>收听广播、观看电视、观赏电影、读书看报、</w:t>
            </w:r>
            <w:r>
              <w:rPr>
                <w:rFonts w:eastAsia="仿宋_GB2312" w:hint="eastAsia"/>
                <w:sz w:val="24"/>
              </w:rPr>
              <w:t>公共体育设施开放、全民健身服务（共计</w:t>
            </w:r>
            <w:r>
              <w:rPr>
                <w:rFonts w:eastAsia="仿宋_GB2312"/>
                <w:sz w:val="24"/>
              </w:rPr>
              <w:t>9</w:t>
            </w:r>
            <w:r>
              <w:rPr>
                <w:rFonts w:eastAsia="仿宋_GB2312" w:hint="eastAsia"/>
                <w:sz w:val="24"/>
              </w:rPr>
              <w:t>项）</w:t>
            </w:r>
          </w:p>
        </w:tc>
      </w:tr>
    </w:tbl>
    <w:p w:rsidR="002C2F4D" w:rsidRDefault="002C2F4D">
      <w:pPr>
        <w:pStyle w:val="1"/>
        <w:keepNext w:val="0"/>
        <w:keepLines w:val="0"/>
        <w:adjustRightInd w:val="0"/>
        <w:spacing w:before="0" w:after="0" w:line="240" w:lineRule="auto"/>
        <w:jc w:val="center"/>
        <w:rPr>
          <w:rFonts w:ascii="仿宋_GB2312" w:eastAsia="仿宋_GB2312"/>
          <w:b w:val="0"/>
          <w:sz w:val="32"/>
          <w:szCs w:val="32"/>
        </w:rPr>
      </w:pPr>
      <w:bookmarkStart w:id="12" w:name="_Toc65837388"/>
      <w:bookmarkStart w:id="13" w:name="_Toc51077328"/>
      <w:bookmarkStart w:id="14" w:name="_Toc56436312"/>
      <w:bookmarkStart w:id="15" w:name="_Toc29752"/>
      <w:bookmarkStart w:id="16" w:name="_Toc50370527"/>
      <w:bookmarkStart w:id="17" w:name="_Toc450226554"/>
      <w:bookmarkEnd w:id="6"/>
    </w:p>
    <w:p w:rsidR="002C2F4D" w:rsidRDefault="00061D81">
      <w:pPr>
        <w:pStyle w:val="1"/>
        <w:keepNext w:val="0"/>
        <w:keepLines w:val="0"/>
        <w:adjustRightInd w:val="0"/>
        <w:spacing w:before="0" w:after="0" w:line="240" w:lineRule="auto"/>
        <w:jc w:val="center"/>
        <w:rPr>
          <w:rFonts w:ascii="方正小标宋_GBK" w:eastAsia="方正小标宋_GBK" w:hAnsi="方正小标宋_GBK" w:cs="方正小标宋_GBK"/>
          <w:b w:val="0"/>
          <w:kern w:val="0"/>
          <w:sz w:val="32"/>
          <w:szCs w:val="32"/>
        </w:rPr>
      </w:pPr>
      <w:r>
        <w:rPr>
          <w:rFonts w:ascii="方正小标宋_GBK" w:eastAsia="方正小标宋_GBK" w:hAnsi="方正小标宋_GBK" w:cs="方正小标宋_GBK" w:hint="eastAsia"/>
          <w:b w:val="0"/>
          <w:kern w:val="0"/>
          <w:sz w:val="32"/>
          <w:szCs w:val="32"/>
        </w:rPr>
        <w:t>第三章</w:t>
      </w:r>
      <w:r>
        <w:rPr>
          <w:rFonts w:ascii="方正小标宋_GBK" w:eastAsia="方正小标宋_GBK" w:hAnsi="方正小标宋_GBK" w:cs="方正小标宋_GBK" w:hint="eastAsia"/>
          <w:b w:val="0"/>
          <w:kern w:val="0"/>
          <w:sz w:val="32"/>
          <w:szCs w:val="32"/>
        </w:rPr>
        <w:t xml:space="preserve">  </w:t>
      </w:r>
      <w:r>
        <w:rPr>
          <w:rFonts w:ascii="方正小标宋_GBK" w:eastAsia="方正小标宋_GBK" w:hAnsi="方正小标宋_GBK" w:cs="方正小标宋_GBK" w:hint="eastAsia"/>
          <w:b w:val="0"/>
          <w:kern w:val="0"/>
          <w:sz w:val="32"/>
          <w:szCs w:val="32"/>
        </w:rPr>
        <w:t>基本公共教育</w:t>
      </w:r>
      <w:bookmarkEnd w:id="12"/>
    </w:p>
    <w:p w:rsidR="002C2F4D" w:rsidRDefault="002C2F4D">
      <w:pPr>
        <w:pStyle w:val="3"/>
        <w:keepNext w:val="0"/>
        <w:keepLines w:val="0"/>
        <w:adjustRightInd w:val="0"/>
        <w:spacing w:before="0" w:after="0" w:line="240" w:lineRule="auto"/>
        <w:jc w:val="center"/>
      </w:pPr>
      <w:bookmarkStart w:id="18" w:name="_Toc65837389"/>
    </w:p>
    <w:p w:rsidR="002C2F4D" w:rsidRDefault="00061D81">
      <w:pPr>
        <w:pStyle w:val="3"/>
        <w:keepNext w:val="0"/>
        <w:keepLines w:val="0"/>
        <w:adjustRightInd w:val="0"/>
        <w:spacing w:before="0" w:after="0" w:line="240" w:lineRule="auto"/>
        <w:jc w:val="center"/>
        <w:rPr>
          <w:rFonts w:ascii="黑体" w:eastAsia="黑体" w:hAnsi="黑体" w:cs="黑体"/>
          <w:b w:val="0"/>
          <w:bCs w:val="0"/>
        </w:rPr>
      </w:pPr>
      <w:r>
        <w:rPr>
          <w:rFonts w:ascii="黑体" w:eastAsia="黑体" w:hAnsi="黑体" w:cs="黑体" w:hint="eastAsia"/>
          <w:b w:val="0"/>
          <w:bCs w:val="0"/>
        </w:rPr>
        <w:t>第一节</w:t>
      </w:r>
      <w:r>
        <w:rPr>
          <w:rFonts w:ascii="黑体" w:eastAsia="黑体" w:hAnsi="黑体" w:cs="黑体" w:hint="eastAsia"/>
          <w:b w:val="0"/>
          <w:bCs w:val="0"/>
        </w:rPr>
        <w:t xml:space="preserve">  </w:t>
      </w:r>
      <w:r>
        <w:rPr>
          <w:rFonts w:ascii="黑体" w:eastAsia="黑体" w:hAnsi="黑体" w:cs="黑体" w:hint="eastAsia"/>
          <w:b w:val="0"/>
          <w:bCs w:val="0"/>
        </w:rPr>
        <w:t>重点任务</w:t>
      </w:r>
      <w:bookmarkEnd w:id="18"/>
    </w:p>
    <w:p w:rsidR="002C2F4D" w:rsidRDefault="002C2F4D">
      <w:pPr>
        <w:rPr>
          <w:sz w:val="32"/>
          <w:szCs w:val="32"/>
        </w:rPr>
      </w:pPr>
    </w:p>
    <w:p w:rsidR="002C2F4D" w:rsidRDefault="00061D81" w:rsidP="00FA6DB5">
      <w:pPr>
        <w:adjustRightInd w:val="0"/>
        <w:ind w:firstLineChars="200" w:firstLine="622"/>
        <w:rPr>
          <w:rFonts w:ascii="仿宋_GB2312" w:eastAsia="仿宋_GB2312" w:hAnsi="仿宋_GB2312" w:cs="仿宋_GB2312"/>
          <w:sz w:val="32"/>
          <w:szCs w:val="32"/>
        </w:rPr>
      </w:pPr>
      <w:r>
        <w:rPr>
          <w:rFonts w:ascii="楷体_GB2312" w:eastAsia="楷体_GB2312" w:hAnsi="楷体_GB2312" w:cs="楷体_GB2312" w:hint="eastAsia"/>
          <w:bCs/>
          <w:sz w:val="32"/>
          <w:szCs w:val="32"/>
        </w:rPr>
        <w:t>建设高质量教育体系。</w:t>
      </w:r>
      <w:r>
        <w:rPr>
          <w:rFonts w:eastAsia="仿宋_GB2312" w:hint="eastAsia"/>
          <w:sz w:val="32"/>
          <w:szCs w:val="32"/>
        </w:rPr>
        <w:t>坚持党对教育事业的全面领导，坚持把立德树人作为根本任务，坚持以人民为中心发展教育，把党的教育方针贯彻到教育行政管理、办学治校和教育教学全过程。扩大学前教育覆盖面，学前三年教育毛入园率达到</w:t>
      </w:r>
      <w:r>
        <w:rPr>
          <w:rFonts w:eastAsia="仿宋_GB2312"/>
          <w:sz w:val="32"/>
          <w:szCs w:val="32"/>
        </w:rPr>
        <w:t>93%</w:t>
      </w:r>
      <w:r>
        <w:rPr>
          <w:rFonts w:eastAsia="仿宋_GB2312" w:hint="eastAsia"/>
          <w:sz w:val="32"/>
          <w:szCs w:val="32"/>
        </w:rPr>
        <w:t>，普惠性学前教育资源覆盖率达到</w:t>
      </w:r>
      <w:r>
        <w:rPr>
          <w:rFonts w:eastAsia="仿宋_GB2312"/>
          <w:sz w:val="32"/>
          <w:szCs w:val="32"/>
        </w:rPr>
        <w:t>80%</w:t>
      </w:r>
      <w:r>
        <w:rPr>
          <w:rFonts w:eastAsia="仿宋_GB2312" w:hint="eastAsia"/>
          <w:sz w:val="32"/>
          <w:szCs w:val="32"/>
        </w:rPr>
        <w:t>以上。</w:t>
      </w:r>
      <w:r>
        <w:rPr>
          <w:rFonts w:ascii="仿宋_GB2312" w:eastAsia="仿宋_GB2312" w:hAnsi="仿宋_GB2312" w:cs="仿宋_GB2312" w:hint="eastAsia"/>
          <w:sz w:val="32"/>
          <w:szCs w:val="32"/>
        </w:rPr>
        <w:t>全面提升义务教育质量，确保“十四五”期间各区全部通过国家县域义务教育优质均衡发展督导评估认定。推动高中阶段教育多样化、有特色发展，高中阶段教育毛入学率达到</w:t>
      </w:r>
      <w:r>
        <w:rPr>
          <w:rFonts w:eastAsia="仿宋_GB2312"/>
          <w:sz w:val="32"/>
          <w:szCs w:val="32"/>
        </w:rPr>
        <w:t>98%</w:t>
      </w:r>
      <w:r>
        <w:rPr>
          <w:rFonts w:ascii="仿宋_GB2312" w:eastAsia="仿宋_GB2312" w:hAnsi="仿宋_GB2312" w:cs="仿宋_GB2312" w:hint="eastAsia"/>
          <w:sz w:val="32"/>
          <w:szCs w:val="32"/>
        </w:rPr>
        <w:t>以上。提升高等教育内涵发展水平，高等教育毛入学率达到</w:t>
      </w:r>
      <w:r>
        <w:rPr>
          <w:rFonts w:eastAsia="仿宋_GB2312"/>
          <w:sz w:val="32"/>
          <w:szCs w:val="32"/>
        </w:rPr>
        <w:t>65%</w:t>
      </w:r>
      <w:r>
        <w:rPr>
          <w:rFonts w:ascii="仿宋_GB2312" w:eastAsia="仿宋_GB2312" w:hAnsi="仿宋_GB2312" w:cs="仿宋_GB2312" w:hint="eastAsia"/>
          <w:sz w:val="32"/>
          <w:szCs w:val="32"/>
        </w:rPr>
        <w:t>以上。全面提升学生身体素质，严格控制青少年近视发生率，确保学生在《国家学生体质健康标准》测试中优良率达到</w:t>
      </w:r>
      <w:r>
        <w:rPr>
          <w:rFonts w:eastAsia="仿宋_GB2312"/>
          <w:sz w:val="32"/>
          <w:szCs w:val="32"/>
        </w:rPr>
        <w:t>50%</w:t>
      </w:r>
      <w:r>
        <w:rPr>
          <w:rFonts w:ascii="仿宋_GB2312" w:eastAsia="仿宋_GB2312" w:hAnsi="仿宋_GB2312" w:cs="仿宋_GB2312" w:hint="eastAsia"/>
          <w:sz w:val="32"/>
          <w:szCs w:val="32"/>
        </w:rPr>
        <w:t>。</w:t>
      </w:r>
    </w:p>
    <w:p w:rsidR="002C2F4D" w:rsidRDefault="00061D81" w:rsidP="00FA6DB5">
      <w:pPr>
        <w:adjustRightInd w:val="0"/>
        <w:ind w:firstLineChars="200" w:firstLine="622"/>
        <w:rPr>
          <w:rFonts w:ascii="仿宋_GB2312" w:eastAsia="仿宋_GB2312" w:hAnsi="仿宋_GB2312" w:cs="仿宋_GB2312"/>
          <w:sz w:val="32"/>
          <w:szCs w:val="32"/>
        </w:rPr>
      </w:pPr>
      <w:r>
        <w:rPr>
          <w:rFonts w:ascii="楷体_GB2312" w:eastAsia="楷体_GB2312" w:hAnsi="楷体_GB2312" w:cs="楷体_GB2312" w:hint="eastAsia"/>
          <w:bCs/>
          <w:sz w:val="32"/>
          <w:szCs w:val="32"/>
        </w:rPr>
        <w:t>推动基础教育优质均衡发展。</w:t>
      </w:r>
      <w:r>
        <w:rPr>
          <w:rFonts w:ascii="仿宋_GB2312" w:eastAsia="仿宋_GB2312" w:hAnsi="仿宋_GB2312" w:cs="仿宋_GB2312" w:hint="eastAsia"/>
          <w:sz w:val="32"/>
          <w:szCs w:val="32"/>
        </w:rPr>
        <w:t>严格落实住宅小区与配套幼儿园规划、建设、使用等相关政策，进一步优化学前教育资源布局。落实全市义务教育学校建设标准统一、区内生均公用经费基准定额统一、基本装备配置标准统一、区内教师编制标准统一，实现区内义务教育更高水平均衡发展和全市城乡基本公共教育服务均等化。根据城市区域功能调整和人口分布变化，优化资源配置、补足义务教育学位缺口。进一步做好中小学课后服务工作，切实减轻课外</w:t>
      </w:r>
      <w:r>
        <w:rPr>
          <w:rFonts w:ascii="仿宋_GB2312" w:eastAsia="仿宋_GB2312" w:hAnsi="仿宋_GB2312" w:cs="仿宋_GB2312" w:hint="eastAsia"/>
          <w:sz w:val="32"/>
          <w:szCs w:val="32"/>
        </w:rPr>
        <w:t>培训的经济和课业负担。促进普通高中教育理念创新、内涵建设、文化培育和特色发展。支持和规范民办教育发展，规范校外培训机构。</w:t>
      </w:r>
    </w:p>
    <w:p w:rsidR="002C2F4D" w:rsidRDefault="00061D81" w:rsidP="00FA6DB5">
      <w:pPr>
        <w:adjustRightInd w:val="0"/>
        <w:ind w:firstLineChars="200" w:firstLine="622"/>
        <w:rPr>
          <w:rFonts w:ascii="仿宋_GB2312" w:eastAsia="仿宋_GB2312" w:hAnsi="仿宋_GB2312" w:cs="仿宋_GB2312"/>
          <w:sz w:val="32"/>
          <w:szCs w:val="32"/>
        </w:rPr>
      </w:pPr>
      <w:r>
        <w:rPr>
          <w:rFonts w:ascii="楷体_GB2312" w:eastAsia="楷体_GB2312" w:hAnsi="楷体_GB2312" w:cs="楷体_GB2312" w:hint="eastAsia"/>
          <w:bCs/>
          <w:sz w:val="32"/>
          <w:szCs w:val="32"/>
        </w:rPr>
        <w:t>构建服务全民的终身教育体系。</w:t>
      </w:r>
      <w:r>
        <w:rPr>
          <w:rFonts w:ascii="仿宋_GB2312" w:eastAsia="仿宋_GB2312" w:hAnsi="仿宋_GB2312" w:cs="仿宋_GB2312" w:hint="eastAsia"/>
          <w:sz w:val="32"/>
          <w:szCs w:val="32"/>
        </w:rPr>
        <w:t>完善行业企业办学体制，深化产教城融合，打造新时代职业教育创新发展标杆。发挥在线教育优势，建设学习型城市，充分满足市民多方面、高质量的教育需求，建成覆盖全市的终身学习网络和区域性学习中心。构建“四横四纵四覆盖”的终身学习服务体系，推动市、区、街道（乡镇）、社区（村）四个办学层级沟通衔接，开放教育、社区教育、老年教育、农民教育四个办学体系融合发展。</w:t>
      </w:r>
    </w:p>
    <w:p w:rsidR="002C2F4D" w:rsidRDefault="00061D81" w:rsidP="00FA6DB5">
      <w:pPr>
        <w:adjustRightInd w:val="0"/>
        <w:ind w:firstLineChars="200" w:firstLine="622"/>
        <w:rPr>
          <w:rFonts w:ascii="仿宋_GB2312" w:eastAsia="仿宋_GB2312" w:hAnsi="仿宋_GB2312" w:cs="仿宋_GB2312"/>
          <w:sz w:val="32"/>
          <w:szCs w:val="32"/>
        </w:rPr>
      </w:pPr>
      <w:r>
        <w:rPr>
          <w:rFonts w:ascii="楷体_GB2312" w:eastAsia="楷体_GB2312" w:hAnsi="楷体_GB2312" w:cs="楷体_GB2312" w:hint="eastAsia"/>
          <w:bCs/>
          <w:sz w:val="32"/>
          <w:szCs w:val="32"/>
        </w:rPr>
        <w:t>推动“滨城”教育先行先试。</w:t>
      </w:r>
      <w:r>
        <w:rPr>
          <w:rFonts w:ascii="仿宋_GB2312" w:eastAsia="仿宋_GB2312" w:hAnsi="仿宋_GB2312" w:cs="仿宋_GB2312" w:hint="eastAsia"/>
          <w:sz w:val="32"/>
          <w:szCs w:val="32"/>
        </w:rPr>
        <w:t>坚持“滨城事、滨城办”，滨海新区在中小学校长职级制、“区管校聘”改革、落实办学自主权、教师绩效管理改革等方面先行示范。深入推进基于学生核心素养的中小学生学业质量“绿色评价”，着力构建德智体美劳全面发展的教育评价体系。对接滨海新区主导产业，着力推进产教融合、校企合作，努力成为教育支撑新动能引育的样板。打造基础教育优质资源辐射升级版，构建“津城”、“滨城”教育竞相发展新格局。</w:t>
      </w:r>
    </w:p>
    <w:p w:rsidR="002C2F4D" w:rsidRDefault="00061D81" w:rsidP="00FA6DB5">
      <w:pPr>
        <w:pStyle w:val="a8"/>
        <w:widowControl w:val="0"/>
        <w:adjustRightInd w:val="0"/>
        <w:ind w:firstLineChars="200" w:firstLine="622"/>
        <w:jc w:val="both"/>
        <w:rPr>
          <w:rFonts w:ascii="仿宋_GB2312" w:eastAsia="仿宋_GB2312" w:hAnsi="仿宋_GB2312" w:cs="仿宋_GB2312"/>
          <w:kern w:val="2"/>
          <w:sz w:val="32"/>
          <w:szCs w:val="32"/>
        </w:rPr>
      </w:pPr>
      <w:r>
        <w:rPr>
          <w:rFonts w:ascii="楷体_GB2312" w:eastAsia="楷体_GB2312" w:hAnsi="楷体_GB2312" w:cs="楷体_GB2312" w:hint="eastAsia"/>
          <w:bCs/>
          <w:kern w:val="2"/>
          <w:sz w:val="32"/>
          <w:szCs w:val="32"/>
        </w:rPr>
        <w:t>促进京津冀教育协同发展</w:t>
      </w:r>
      <w:r>
        <w:rPr>
          <w:rFonts w:ascii="仿宋_GB2312" w:eastAsia="仿宋_GB2312" w:hAnsi="Times New Roman" w:cs="Times New Roman" w:hint="eastAsia"/>
          <w:b/>
          <w:kern w:val="2"/>
          <w:sz w:val="32"/>
          <w:szCs w:val="32"/>
        </w:rPr>
        <w:t>。</w:t>
      </w:r>
      <w:r>
        <w:rPr>
          <w:rFonts w:ascii="仿宋_GB2312" w:eastAsia="仿宋_GB2312" w:hAnsi="Times New Roman" w:cs="Times New Roman" w:hint="eastAsia"/>
          <w:kern w:val="2"/>
          <w:sz w:val="32"/>
          <w:szCs w:val="32"/>
        </w:rPr>
        <w:t>完善京津冀教育协同发展机制，深化区域教育合作，支持高校共建京津冀课程联盟、优质教育资源</w:t>
      </w:r>
      <w:r>
        <w:rPr>
          <w:rFonts w:ascii="仿宋_GB2312" w:eastAsia="仿宋_GB2312" w:hAnsi="Times New Roman" w:cs="Times New Roman" w:hint="eastAsia"/>
          <w:kern w:val="2"/>
          <w:sz w:val="32"/>
          <w:szCs w:val="32"/>
        </w:rPr>
        <w:t>共享联盟。构建京津冀职业教育协同发展共同体，建立与区域产业转型升级相适应的技术技能人才培养培训体系。深化“通武廊”区域教育合作，推动“通武廊”基本公共教育服务均等化。发挥本市教育优势特色，支持雄安新区教育发展，办好天津市第一中学雄安校区、天津职业大学雄安新区培训基地等。</w:t>
      </w:r>
    </w:p>
    <w:p w:rsidR="002C2F4D" w:rsidRDefault="002C2F4D">
      <w:pPr>
        <w:pStyle w:val="3"/>
        <w:keepNext w:val="0"/>
        <w:keepLines w:val="0"/>
        <w:adjustRightInd w:val="0"/>
        <w:spacing w:before="0" w:after="0" w:line="240" w:lineRule="auto"/>
        <w:jc w:val="center"/>
        <w:rPr>
          <w:b w:val="0"/>
          <w:bCs w:val="0"/>
        </w:rPr>
      </w:pPr>
      <w:bookmarkStart w:id="19" w:name="_Toc65837390"/>
    </w:p>
    <w:p w:rsidR="002C2F4D" w:rsidRDefault="00061D81">
      <w:pPr>
        <w:pStyle w:val="3"/>
        <w:keepNext w:val="0"/>
        <w:keepLines w:val="0"/>
        <w:adjustRightInd w:val="0"/>
        <w:spacing w:before="0" w:after="0" w:line="240" w:lineRule="auto"/>
        <w:jc w:val="center"/>
        <w:rPr>
          <w:rFonts w:ascii="黑体" w:eastAsia="黑体" w:hAnsi="黑体" w:cs="黑体"/>
          <w:b w:val="0"/>
          <w:bCs w:val="0"/>
        </w:rPr>
      </w:pPr>
      <w:r>
        <w:rPr>
          <w:rFonts w:ascii="黑体" w:eastAsia="黑体" w:hAnsi="黑体" w:cs="黑体" w:hint="eastAsia"/>
          <w:b w:val="0"/>
          <w:bCs w:val="0"/>
        </w:rPr>
        <w:t>第二节</w:t>
      </w:r>
      <w:r>
        <w:rPr>
          <w:rFonts w:ascii="黑体" w:eastAsia="黑体" w:hAnsi="黑体" w:cs="黑体" w:hint="eastAsia"/>
          <w:b w:val="0"/>
          <w:bCs w:val="0"/>
        </w:rPr>
        <w:t xml:space="preserve">  </w:t>
      </w:r>
      <w:r>
        <w:rPr>
          <w:rFonts w:ascii="黑体" w:eastAsia="黑体" w:hAnsi="黑体" w:cs="黑体" w:hint="eastAsia"/>
          <w:b w:val="0"/>
          <w:bCs w:val="0"/>
        </w:rPr>
        <w:t>基本标准</w:t>
      </w:r>
      <w:bookmarkEnd w:id="19"/>
    </w:p>
    <w:p w:rsidR="002C2F4D" w:rsidRDefault="002C2F4D">
      <w:pPr>
        <w:adjustRightInd w:val="0"/>
        <w:rPr>
          <w:sz w:val="32"/>
          <w:szCs w:val="40"/>
        </w:rPr>
      </w:pPr>
    </w:p>
    <w:p w:rsidR="002C2F4D" w:rsidRDefault="00061D81" w:rsidP="00FA6DB5">
      <w:pPr>
        <w:adjustRightInd w:val="0"/>
        <w:ind w:firstLineChars="200" w:firstLine="622"/>
        <w:rPr>
          <w:rFonts w:ascii="仿宋_GB2312" w:eastAsia="仿宋_GB2312" w:hAnsi="仿宋_GB2312" w:cs="仿宋_GB2312"/>
          <w:sz w:val="32"/>
          <w:szCs w:val="32"/>
        </w:rPr>
      </w:pPr>
      <w:r>
        <w:rPr>
          <w:rFonts w:ascii="仿宋_GB2312" w:eastAsia="仿宋_GB2312" w:hAnsi="仿宋_GB2312" w:cs="仿宋_GB2312" w:hint="eastAsia"/>
          <w:sz w:val="32"/>
          <w:szCs w:val="32"/>
        </w:rPr>
        <w:t>以基本公共教育服务国家基本标准为基础，结合本市实际情况，制定“十四五”时期天津市基本公共教育服务基本标准。</w:t>
      </w:r>
    </w:p>
    <w:p w:rsidR="002C2F4D" w:rsidRDefault="002C2F4D" w:rsidP="00FA6DB5">
      <w:pPr>
        <w:adjustRightInd w:val="0"/>
        <w:ind w:firstLineChars="200" w:firstLine="622"/>
        <w:rPr>
          <w:rFonts w:ascii="仿宋_GB2312" w:eastAsia="仿宋_GB2312" w:hAnsi="仿宋_GB2312" w:cs="仿宋_GB2312"/>
          <w:sz w:val="32"/>
          <w:szCs w:val="32"/>
        </w:rPr>
      </w:pPr>
    </w:p>
    <w:p w:rsidR="002C2F4D" w:rsidRDefault="00061D81" w:rsidP="00FA6DB5">
      <w:pPr>
        <w:adjustRightInd w:val="0"/>
        <w:spacing w:beforeLines="100" w:before="289"/>
        <w:jc w:val="center"/>
        <w:rPr>
          <w:rFonts w:ascii="黑体" w:eastAsia="黑体" w:hAnsi="黑体" w:cs="黑体"/>
          <w:kern w:val="0"/>
          <w:sz w:val="32"/>
          <w:szCs w:val="32"/>
        </w:rPr>
      </w:pPr>
      <w:r>
        <w:rPr>
          <w:rFonts w:ascii="黑体" w:eastAsia="黑体" w:hAnsi="黑体" w:cs="黑体" w:hint="eastAsia"/>
          <w:kern w:val="0"/>
          <w:sz w:val="32"/>
          <w:szCs w:val="32"/>
        </w:rPr>
        <w:t>“十四五”时期天津市基本公共教育服务基本标准</w:t>
      </w:r>
    </w:p>
    <w:tbl>
      <w:tblPr>
        <w:tblW w:w="9628" w:type="dxa"/>
        <w:jc w:val="center"/>
        <w:tblLayout w:type="fixed"/>
        <w:tblCellMar>
          <w:top w:w="15" w:type="dxa"/>
          <w:left w:w="15" w:type="dxa"/>
          <w:bottom w:w="15" w:type="dxa"/>
          <w:right w:w="15" w:type="dxa"/>
        </w:tblCellMar>
        <w:tblLook w:val="04A0" w:firstRow="1" w:lastRow="0" w:firstColumn="1" w:lastColumn="0" w:noHBand="0" w:noVBand="1"/>
      </w:tblPr>
      <w:tblGrid>
        <w:gridCol w:w="1421"/>
        <w:gridCol w:w="2277"/>
        <w:gridCol w:w="2303"/>
        <w:gridCol w:w="2025"/>
        <w:gridCol w:w="1602"/>
      </w:tblGrid>
      <w:tr w:rsidR="002C2F4D">
        <w:trPr>
          <w:cantSplit/>
          <w:trHeight w:hRule="exact" w:val="474"/>
          <w:tblHeader/>
          <w:jc w:val="center"/>
        </w:trPr>
        <w:tc>
          <w:tcPr>
            <w:tcW w:w="142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服务项目</w:t>
            </w:r>
          </w:p>
        </w:tc>
        <w:tc>
          <w:tcPr>
            <w:tcW w:w="2277"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服务对象</w:t>
            </w:r>
          </w:p>
        </w:tc>
        <w:tc>
          <w:tcPr>
            <w:tcW w:w="2303"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保障标准</w:t>
            </w:r>
          </w:p>
        </w:tc>
        <w:tc>
          <w:tcPr>
            <w:tcW w:w="2025"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支出责任</w:t>
            </w:r>
          </w:p>
        </w:tc>
        <w:tc>
          <w:tcPr>
            <w:tcW w:w="1602"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覆盖水平</w:t>
            </w:r>
          </w:p>
        </w:tc>
      </w:tr>
      <w:tr w:rsidR="002C2F4D">
        <w:trPr>
          <w:cantSplit/>
          <w:trHeight w:hRule="exact" w:val="489"/>
          <w:jc w:val="center"/>
        </w:trPr>
        <w:tc>
          <w:tcPr>
            <w:tcW w:w="9628" w:type="dxa"/>
            <w:gridSpan w:val="5"/>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ascii="楷体_GB2312" w:eastAsia="楷体_GB2312" w:hAnsi="楷体_GB2312" w:cs="楷体_GB2312"/>
                <w:sz w:val="24"/>
              </w:rPr>
            </w:pPr>
            <w:r>
              <w:rPr>
                <w:rFonts w:ascii="楷体_GB2312" w:eastAsia="楷体_GB2312" w:hAnsi="楷体_GB2312" w:cs="楷体_GB2312" w:hint="eastAsia"/>
                <w:sz w:val="24"/>
              </w:rPr>
              <w:t>学前教育</w:t>
            </w:r>
          </w:p>
        </w:tc>
      </w:tr>
      <w:tr w:rsidR="002C2F4D">
        <w:trPr>
          <w:cantSplit/>
          <w:trHeight w:val="2381"/>
          <w:jc w:val="center"/>
        </w:trPr>
        <w:tc>
          <w:tcPr>
            <w:tcW w:w="142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学前教育幼儿资助</w:t>
            </w:r>
          </w:p>
        </w:tc>
        <w:tc>
          <w:tcPr>
            <w:tcW w:w="2277" w:type="dxa"/>
            <w:tcBorders>
              <w:top w:val="single" w:sz="4" w:space="0" w:color="000000"/>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普惠性幼儿园</w:t>
            </w:r>
            <w:r>
              <w:rPr>
                <w:rFonts w:eastAsia="仿宋_GB2312"/>
                <w:sz w:val="24"/>
              </w:rPr>
              <w:t>3</w:t>
            </w:r>
            <w:r>
              <w:rPr>
                <w:rFonts w:eastAsia="仿宋_GB2312"/>
                <w:sz w:val="24"/>
              </w:rPr>
              <w:t>至</w:t>
            </w:r>
            <w:r>
              <w:rPr>
                <w:rFonts w:eastAsia="仿宋_GB2312"/>
                <w:sz w:val="24"/>
              </w:rPr>
              <w:t>6</w:t>
            </w:r>
            <w:r>
              <w:rPr>
                <w:rFonts w:eastAsia="仿宋_GB2312" w:hint="eastAsia"/>
                <w:sz w:val="24"/>
              </w:rPr>
              <w:t>周</w:t>
            </w:r>
            <w:r>
              <w:rPr>
                <w:rFonts w:eastAsia="仿宋_GB2312"/>
                <w:sz w:val="24"/>
              </w:rPr>
              <w:t>岁的在园家庭经济困难儿童（含建档立卡家庭儿童、低保家庭儿童、特困救助供养儿童等）、革命烈士子女、孤儿和残疾儿童</w:t>
            </w:r>
          </w:p>
        </w:tc>
        <w:tc>
          <w:tcPr>
            <w:tcW w:w="2303" w:type="dxa"/>
            <w:tcBorders>
              <w:top w:val="single" w:sz="4" w:space="0" w:color="000000"/>
              <w:left w:val="single" w:sz="4" w:space="0" w:color="auto"/>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原则上每生每年资助</w:t>
            </w:r>
            <w:r>
              <w:rPr>
                <w:rFonts w:eastAsia="仿宋_GB2312"/>
                <w:sz w:val="24"/>
              </w:rPr>
              <w:t>1500</w:t>
            </w:r>
            <w:r>
              <w:rPr>
                <w:rFonts w:eastAsia="仿宋_GB2312"/>
                <w:sz w:val="24"/>
              </w:rPr>
              <w:t>元。资助对象所在幼儿园全年收取保育费（保教费）低于</w:t>
            </w:r>
            <w:r>
              <w:rPr>
                <w:rFonts w:eastAsia="仿宋_GB2312"/>
                <w:sz w:val="24"/>
              </w:rPr>
              <w:t>1500</w:t>
            </w:r>
            <w:r>
              <w:rPr>
                <w:rFonts w:eastAsia="仿宋_GB2312"/>
                <w:sz w:val="24"/>
              </w:rPr>
              <w:t>元的，按实际收费标准予以补助</w:t>
            </w:r>
            <w:r>
              <w:rPr>
                <w:rFonts w:eastAsia="仿宋_GB2312" w:hint="eastAsia"/>
                <w:sz w:val="24"/>
              </w:rPr>
              <w:t>。</w:t>
            </w:r>
          </w:p>
        </w:tc>
        <w:tc>
          <w:tcPr>
            <w:tcW w:w="2025" w:type="dxa"/>
            <w:tcBorders>
              <w:top w:val="single" w:sz="4" w:space="0" w:color="000000"/>
              <w:left w:val="single" w:sz="4" w:space="0" w:color="auto"/>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市、区财政负担</w:t>
            </w:r>
            <w:r>
              <w:rPr>
                <w:rFonts w:eastAsia="仿宋_GB2312" w:hint="eastAsia"/>
                <w:sz w:val="24"/>
              </w:rPr>
              <w:t>。</w:t>
            </w:r>
          </w:p>
        </w:tc>
        <w:tc>
          <w:tcPr>
            <w:tcW w:w="1602"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目标人群覆盖率</w:t>
            </w:r>
            <w:r>
              <w:rPr>
                <w:rFonts w:eastAsia="仿宋_GB2312"/>
                <w:sz w:val="24"/>
              </w:rPr>
              <w:t>100%</w:t>
            </w:r>
          </w:p>
        </w:tc>
      </w:tr>
      <w:tr w:rsidR="002C2F4D">
        <w:trPr>
          <w:cantSplit/>
          <w:trHeight w:hRule="exact" w:val="539"/>
          <w:jc w:val="center"/>
        </w:trPr>
        <w:tc>
          <w:tcPr>
            <w:tcW w:w="9628" w:type="dxa"/>
            <w:gridSpan w:val="5"/>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ascii="楷体_GB2312" w:eastAsia="楷体_GB2312" w:hAnsi="楷体_GB2312" w:cs="楷体_GB2312"/>
                <w:sz w:val="24"/>
              </w:rPr>
            </w:pPr>
            <w:r>
              <w:rPr>
                <w:rFonts w:ascii="楷体_GB2312" w:eastAsia="楷体_GB2312" w:hAnsi="楷体_GB2312" w:cs="楷体_GB2312" w:hint="eastAsia"/>
                <w:sz w:val="24"/>
              </w:rPr>
              <w:t>九年义务教育</w:t>
            </w:r>
          </w:p>
        </w:tc>
      </w:tr>
      <w:tr w:rsidR="002C2F4D">
        <w:trPr>
          <w:cantSplit/>
          <w:trHeight w:val="1821"/>
          <w:jc w:val="center"/>
        </w:trPr>
        <w:tc>
          <w:tcPr>
            <w:tcW w:w="142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义务教育阶段免除学杂费</w:t>
            </w:r>
          </w:p>
        </w:tc>
        <w:tc>
          <w:tcPr>
            <w:tcW w:w="2277" w:type="dxa"/>
            <w:tcBorders>
              <w:top w:val="single" w:sz="4" w:space="0" w:color="000000"/>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义务教育学校在校生</w:t>
            </w:r>
          </w:p>
        </w:tc>
        <w:tc>
          <w:tcPr>
            <w:tcW w:w="2303" w:type="dxa"/>
            <w:tcBorders>
              <w:top w:val="single" w:sz="4" w:space="0" w:color="000000"/>
              <w:left w:val="single" w:sz="4" w:space="0" w:color="auto"/>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公办学校按照义务教育阶段</w:t>
            </w:r>
            <w:r>
              <w:rPr>
                <w:rFonts w:eastAsia="仿宋_GB2312"/>
                <w:sz w:val="24"/>
              </w:rPr>
              <w:t>“</w:t>
            </w:r>
            <w:r>
              <w:rPr>
                <w:rFonts w:eastAsia="仿宋_GB2312"/>
                <w:sz w:val="24"/>
              </w:rPr>
              <w:t>一费制</w:t>
            </w:r>
            <w:r>
              <w:rPr>
                <w:rFonts w:eastAsia="仿宋_GB2312"/>
                <w:sz w:val="24"/>
              </w:rPr>
              <w:t>”</w:t>
            </w:r>
            <w:r>
              <w:rPr>
                <w:rFonts w:eastAsia="仿宋_GB2312"/>
                <w:sz w:val="24"/>
              </w:rPr>
              <w:t>标准核定；民办学校按照小学和初中的生均公用经费定额标准减免</w:t>
            </w:r>
            <w:r>
              <w:rPr>
                <w:rFonts w:eastAsia="仿宋_GB2312" w:hint="eastAsia"/>
                <w:sz w:val="24"/>
              </w:rPr>
              <w:t>。</w:t>
            </w:r>
          </w:p>
        </w:tc>
        <w:tc>
          <w:tcPr>
            <w:tcW w:w="2025" w:type="dxa"/>
            <w:tcBorders>
              <w:top w:val="single" w:sz="4" w:space="0" w:color="000000"/>
              <w:left w:val="single" w:sz="4" w:space="0" w:color="auto"/>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hint="eastAsia"/>
                <w:sz w:val="24"/>
              </w:rPr>
              <w:t>各级财政负担。</w:t>
            </w:r>
          </w:p>
        </w:tc>
        <w:tc>
          <w:tcPr>
            <w:tcW w:w="1602"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目标人群覆盖率</w:t>
            </w:r>
            <w:r>
              <w:rPr>
                <w:rFonts w:eastAsia="仿宋_GB2312"/>
                <w:sz w:val="24"/>
              </w:rPr>
              <w:t>100%</w:t>
            </w:r>
          </w:p>
        </w:tc>
      </w:tr>
      <w:tr w:rsidR="002C2F4D">
        <w:trPr>
          <w:cantSplit/>
          <w:trHeight w:val="3041"/>
          <w:jc w:val="center"/>
        </w:trPr>
        <w:tc>
          <w:tcPr>
            <w:tcW w:w="142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义务教育免费提供教科书</w:t>
            </w:r>
          </w:p>
        </w:tc>
        <w:tc>
          <w:tcPr>
            <w:tcW w:w="2277" w:type="dxa"/>
            <w:tcBorders>
              <w:top w:val="single" w:sz="4" w:space="0" w:color="000000"/>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义务教育学校在校生</w:t>
            </w:r>
          </w:p>
        </w:tc>
        <w:tc>
          <w:tcPr>
            <w:tcW w:w="2303" w:type="dxa"/>
            <w:tcBorders>
              <w:top w:val="single" w:sz="4" w:space="0" w:color="000000"/>
              <w:left w:val="single" w:sz="4" w:space="0" w:color="auto"/>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免费教科书按照实际采购价格补助</w:t>
            </w:r>
            <w:r>
              <w:rPr>
                <w:rFonts w:eastAsia="仿宋_GB2312" w:hint="eastAsia"/>
                <w:sz w:val="24"/>
              </w:rPr>
              <w:t>。</w:t>
            </w:r>
          </w:p>
        </w:tc>
        <w:tc>
          <w:tcPr>
            <w:tcW w:w="2025" w:type="dxa"/>
            <w:tcBorders>
              <w:top w:val="single" w:sz="4" w:space="0" w:color="000000"/>
              <w:left w:val="single" w:sz="4" w:space="0" w:color="auto"/>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国家规定课程所需资金由中央全额承担。地方规定课程所需资金，市属学校由市级负担，</w:t>
            </w:r>
            <w:r>
              <w:rPr>
                <w:rFonts w:eastAsia="仿宋_GB2312" w:hint="eastAsia"/>
                <w:sz w:val="24"/>
              </w:rPr>
              <w:t>区属学校由市与区共同负担</w:t>
            </w:r>
            <w:r>
              <w:rPr>
                <w:rFonts w:eastAsia="仿宋_GB2312"/>
                <w:sz w:val="24"/>
              </w:rPr>
              <w:t>，市对部分区按</w:t>
            </w:r>
            <w:r>
              <w:rPr>
                <w:rFonts w:eastAsia="仿宋_GB2312"/>
                <w:sz w:val="24"/>
              </w:rPr>
              <w:t>50%</w:t>
            </w:r>
            <w:r>
              <w:rPr>
                <w:rFonts w:eastAsia="仿宋_GB2312"/>
                <w:sz w:val="24"/>
              </w:rPr>
              <w:t>比例给予转移支付补助</w:t>
            </w:r>
            <w:r>
              <w:rPr>
                <w:rFonts w:eastAsia="仿宋_GB2312" w:hint="eastAsia"/>
                <w:sz w:val="24"/>
              </w:rPr>
              <w:t>。</w:t>
            </w:r>
          </w:p>
        </w:tc>
        <w:tc>
          <w:tcPr>
            <w:tcW w:w="1602"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目标人群覆盖率</w:t>
            </w:r>
            <w:r>
              <w:rPr>
                <w:rFonts w:eastAsia="仿宋_GB2312"/>
                <w:sz w:val="24"/>
              </w:rPr>
              <w:t>100%</w:t>
            </w:r>
          </w:p>
        </w:tc>
      </w:tr>
      <w:tr w:rsidR="002C2F4D">
        <w:trPr>
          <w:cantSplit/>
          <w:trHeight w:val="2723"/>
          <w:jc w:val="center"/>
        </w:trPr>
        <w:tc>
          <w:tcPr>
            <w:tcW w:w="142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义务教育家庭经济困难学生生活补助</w:t>
            </w:r>
          </w:p>
        </w:tc>
        <w:tc>
          <w:tcPr>
            <w:tcW w:w="2277" w:type="dxa"/>
            <w:tcBorders>
              <w:top w:val="single" w:sz="4" w:space="0" w:color="000000"/>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义务教育学校家庭经济困难学生</w:t>
            </w:r>
          </w:p>
        </w:tc>
        <w:tc>
          <w:tcPr>
            <w:tcW w:w="2303" w:type="dxa"/>
            <w:tcBorders>
              <w:top w:val="single" w:sz="4" w:space="0" w:color="000000"/>
              <w:left w:val="single" w:sz="4" w:space="0" w:color="auto"/>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家庭经济困难寄宿生生活补助国家基础标准为小学每生每年</w:t>
            </w:r>
            <w:r>
              <w:rPr>
                <w:rFonts w:eastAsia="仿宋_GB2312"/>
                <w:sz w:val="24"/>
              </w:rPr>
              <w:t>1000</w:t>
            </w:r>
            <w:r>
              <w:rPr>
                <w:rFonts w:eastAsia="仿宋_GB2312"/>
                <w:sz w:val="24"/>
              </w:rPr>
              <w:t>元、初中</w:t>
            </w:r>
            <w:r>
              <w:rPr>
                <w:rFonts w:eastAsia="仿宋_GB2312" w:hint="eastAsia"/>
                <w:sz w:val="24"/>
              </w:rPr>
              <w:t>每生每年</w:t>
            </w:r>
            <w:r>
              <w:rPr>
                <w:rFonts w:eastAsia="仿宋_GB2312"/>
                <w:sz w:val="24"/>
              </w:rPr>
              <w:t>1250</w:t>
            </w:r>
            <w:r>
              <w:rPr>
                <w:rFonts w:eastAsia="仿宋_GB2312"/>
                <w:sz w:val="24"/>
              </w:rPr>
              <w:t>元</w:t>
            </w:r>
            <w:r>
              <w:rPr>
                <w:rFonts w:eastAsia="仿宋_GB2312" w:hint="eastAsia"/>
                <w:sz w:val="24"/>
              </w:rPr>
              <w:t>；</w:t>
            </w:r>
            <w:r>
              <w:rPr>
                <w:rFonts w:eastAsia="仿宋_GB2312"/>
                <w:sz w:val="24"/>
              </w:rPr>
              <w:t>按照国家基础标准</w:t>
            </w:r>
            <w:r>
              <w:rPr>
                <w:rFonts w:eastAsia="仿宋_GB2312"/>
                <w:sz w:val="24"/>
              </w:rPr>
              <w:t>50%</w:t>
            </w:r>
            <w:r>
              <w:rPr>
                <w:rFonts w:eastAsia="仿宋_GB2312"/>
                <w:sz w:val="24"/>
              </w:rPr>
              <w:t>的比例核定家庭经济困难非寄宿生生活补助标准</w:t>
            </w:r>
            <w:r>
              <w:rPr>
                <w:rFonts w:eastAsia="仿宋_GB2312" w:hint="eastAsia"/>
                <w:sz w:val="24"/>
              </w:rPr>
              <w:t>。</w:t>
            </w:r>
          </w:p>
        </w:tc>
        <w:tc>
          <w:tcPr>
            <w:tcW w:w="2025" w:type="dxa"/>
            <w:tcBorders>
              <w:top w:val="single" w:sz="4" w:space="0" w:color="000000"/>
              <w:left w:val="single" w:sz="4" w:space="0" w:color="auto"/>
              <w:bottom w:val="single" w:sz="4" w:space="0" w:color="000000"/>
              <w:right w:val="single" w:sz="4" w:space="0" w:color="auto"/>
            </w:tcBorders>
            <w:vAlign w:val="center"/>
          </w:tcPr>
          <w:p w:rsidR="002C2F4D" w:rsidRDefault="00061D81">
            <w:pPr>
              <w:adjustRightInd w:val="0"/>
              <w:snapToGrid w:val="0"/>
              <w:rPr>
                <w:rFonts w:eastAsia="仿宋_GB2312"/>
                <w:sz w:val="24"/>
              </w:rPr>
            </w:pPr>
            <w:r>
              <w:rPr>
                <w:rFonts w:eastAsia="仿宋_GB2312"/>
                <w:sz w:val="24"/>
              </w:rPr>
              <w:t>中央与地方按照</w:t>
            </w:r>
            <w:r>
              <w:rPr>
                <w:rFonts w:eastAsia="仿宋_GB2312"/>
                <w:sz w:val="24"/>
              </w:rPr>
              <w:t>5</w:t>
            </w:r>
            <w:r>
              <w:rPr>
                <w:rFonts w:eastAsia="仿宋_GB2312"/>
                <w:sz w:val="24"/>
              </w:rPr>
              <w:t>︰</w:t>
            </w:r>
            <w:r>
              <w:rPr>
                <w:rFonts w:eastAsia="仿宋_GB2312"/>
                <w:sz w:val="24"/>
              </w:rPr>
              <w:t>5</w:t>
            </w:r>
            <w:r>
              <w:rPr>
                <w:rFonts w:eastAsia="仿宋_GB2312"/>
                <w:sz w:val="24"/>
              </w:rPr>
              <w:t>比例分担。地方应分担部分，由</w:t>
            </w:r>
            <w:r>
              <w:rPr>
                <w:rFonts w:eastAsia="仿宋_GB2312" w:hint="eastAsia"/>
                <w:sz w:val="24"/>
              </w:rPr>
              <w:t>各</w:t>
            </w:r>
            <w:r>
              <w:rPr>
                <w:rFonts w:eastAsia="仿宋_GB2312"/>
                <w:sz w:val="24"/>
              </w:rPr>
              <w:t>区负担</w:t>
            </w:r>
            <w:r>
              <w:rPr>
                <w:rFonts w:eastAsia="仿宋_GB2312" w:hint="eastAsia"/>
                <w:sz w:val="24"/>
              </w:rPr>
              <w:t>。</w:t>
            </w:r>
          </w:p>
        </w:tc>
        <w:tc>
          <w:tcPr>
            <w:tcW w:w="1602" w:type="dxa"/>
            <w:tcBorders>
              <w:top w:val="single" w:sz="4" w:space="0" w:color="000000"/>
              <w:left w:val="single" w:sz="4" w:space="0" w:color="auto"/>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目标人群覆盖率</w:t>
            </w:r>
            <w:r>
              <w:rPr>
                <w:rFonts w:eastAsia="仿宋_GB2312"/>
                <w:sz w:val="24"/>
              </w:rPr>
              <w:t>100%</w:t>
            </w:r>
          </w:p>
        </w:tc>
      </w:tr>
      <w:tr w:rsidR="002C2F4D">
        <w:trPr>
          <w:cantSplit/>
          <w:trHeight w:val="3542"/>
          <w:jc w:val="center"/>
        </w:trPr>
        <w:tc>
          <w:tcPr>
            <w:tcW w:w="142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义务教育公用经费</w:t>
            </w:r>
            <w:r>
              <w:rPr>
                <w:rFonts w:eastAsia="仿宋_GB2312" w:hint="eastAsia"/>
                <w:sz w:val="24"/>
              </w:rPr>
              <w:t>保障</w:t>
            </w:r>
          </w:p>
        </w:tc>
        <w:tc>
          <w:tcPr>
            <w:tcW w:w="2277"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义务教育学校在校生</w:t>
            </w:r>
          </w:p>
        </w:tc>
        <w:tc>
          <w:tcPr>
            <w:tcW w:w="2303"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现行标准为小学每生每年不低于</w:t>
            </w:r>
            <w:r>
              <w:rPr>
                <w:rFonts w:eastAsia="仿宋_GB2312"/>
                <w:sz w:val="24"/>
              </w:rPr>
              <w:t>1300</w:t>
            </w:r>
            <w:r>
              <w:rPr>
                <w:rFonts w:eastAsia="仿宋_GB2312"/>
                <w:sz w:val="24"/>
              </w:rPr>
              <w:t>元、初中每生每年不低于</w:t>
            </w:r>
            <w:r>
              <w:rPr>
                <w:rFonts w:eastAsia="仿宋_GB2312"/>
                <w:sz w:val="24"/>
              </w:rPr>
              <w:t>1450</w:t>
            </w:r>
            <w:r>
              <w:rPr>
                <w:rFonts w:eastAsia="仿宋_GB2312"/>
                <w:sz w:val="24"/>
              </w:rPr>
              <w:t>元，下一步将根据市</w:t>
            </w:r>
            <w:r>
              <w:rPr>
                <w:rFonts w:eastAsia="仿宋_GB2312" w:hint="eastAsia"/>
                <w:sz w:val="24"/>
              </w:rPr>
              <w:t>、</w:t>
            </w:r>
            <w:r>
              <w:rPr>
                <w:rFonts w:eastAsia="仿宋_GB2312"/>
                <w:sz w:val="24"/>
              </w:rPr>
              <w:t>区两级财力，适时提高小学、初中生均公用经费标准</w:t>
            </w:r>
            <w:r>
              <w:rPr>
                <w:rFonts w:eastAsia="仿宋_GB2312" w:hint="eastAsia"/>
                <w:sz w:val="24"/>
              </w:rPr>
              <w:t>。</w:t>
            </w:r>
          </w:p>
        </w:tc>
        <w:tc>
          <w:tcPr>
            <w:tcW w:w="2025"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国家制定的义务教育生均公用经费基准定额，中央与地方按照</w:t>
            </w:r>
            <w:r>
              <w:rPr>
                <w:rFonts w:eastAsia="仿宋_GB2312" w:hint="eastAsia"/>
                <w:sz w:val="24"/>
              </w:rPr>
              <w:t>5</w:t>
            </w:r>
            <w:r>
              <w:rPr>
                <w:rFonts w:eastAsia="仿宋_GB2312"/>
                <w:sz w:val="24"/>
              </w:rPr>
              <w:t>︰</w:t>
            </w:r>
            <w:r>
              <w:rPr>
                <w:rFonts w:eastAsia="仿宋_GB2312" w:hint="eastAsia"/>
                <w:sz w:val="24"/>
              </w:rPr>
              <w:t>5</w:t>
            </w:r>
            <w:r>
              <w:rPr>
                <w:rFonts w:eastAsia="仿宋_GB2312" w:hint="eastAsia"/>
                <w:sz w:val="24"/>
              </w:rPr>
              <w:t>比例分担。地方应分担部分，按照学校隶属关系，由市、区财政分担，市财政对部分区财政按比例给予转移支付补助。</w:t>
            </w:r>
          </w:p>
        </w:tc>
        <w:tc>
          <w:tcPr>
            <w:tcW w:w="1602"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目标人群覆盖率</w:t>
            </w:r>
            <w:r>
              <w:rPr>
                <w:rFonts w:eastAsia="仿宋_GB2312"/>
                <w:sz w:val="24"/>
              </w:rPr>
              <w:t>100%</w:t>
            </w:r>
          </w:p>
        </w:tc>
      </w:tr>
      <w:tr w:rsidR="002C2F4D">
        <w:trPr>
          <w:cantSplit/>
          <w:trHeight w:hRule="exact" w:val="567"/>
          <w:jc w:val="center"/>
        </w:trPr>
        <w:tc>
          <w:tcPr>
            <w:tcW w:w="9628" w:type="dxa"/>
            <w:gridSpan w:val="5"/>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ascii="楷体_GB2312" w:eastAsia="楷体_GB2312" w:hAnsi="楷体_GB2312" w:cs="楷体_GB2312"/>
                <w:sz w:val="24"/>
              </w:rPr>
            </w:pPr>
            <w:r>
              <w:rPr>
                <w:rFonts w:ascii="楷体_GB2312" w:eastAsia="楷体_GB2312" w:hAnsi="楷体_GB2312" w:cs="楷体_GB2312" w:hint="eastAsia"/>
                <w:sz w:val="24"/>
              </w:rPr>
              <w:t>高中阶段教育</w:t>
            </w:r>
          </w:p>
        </w:tc>
      </w:tr>
      <w:tr w:rsidR="002C2F4D">
        <w:trPr>
          <w:cantSplit/>
          <w:trHeight w:val="4498"/>
          <w:jc w:val="center"/>
        </w:trPr>
        <w:tc>
          <w:tcPr>
            <w:tcW w:w="142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中等职业教育免</w:t>
            </w:r>
            <w:r>
              <w:rPr>
                <w:rFonts w:eastAsia="仿宋_GB2312" w:hint="eastAsia"/>
                <w:sz w:val="24"/>
              </w:rPr>
              <w:t>除</w:t>
            </w:r>
            <w:r>
              <w:rPr>
                <w:rFonts w:eastAsia="仿宋_GB2312"/>
                <w:sz w:val="24"/>
              </w:rPr>
              <w:t>学费</w:t>
            </w:r>
          </w:p>
        </w:tc>
        <w:tc>
          <w:tcPr>
            <w:tcW w:w="2277"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ascii="仿宋" w:eastAsia="仿宋" w:hAnsi="仿宋" w:cs="仿宋"/>
                <w:sz w:val="24"/>
              </w:rPr>
            </w:pPr>
            <w:r>
              <w:rPr>
                <w:rFonts w:eastAsia="仿宋_GB2312"/>
                <w:sz w:val="24"/>
              </w:rPr>
              <w:t>本市中等职业学校全日制学历教育正式学籍一、二、三年级在校生中所有农村（含镇）学生、城市涉农专业学生</w:t>
            </w:r>
            <w:r>
              <w:rPr>
                <w:rFonts w:eastAsia="仿宋_GB2312" w:hint="eastAsia"/>
                <w:sz w:val="24"/>
              </w:rPr>
              <w:t>和</w:t>
            </w:r>
            <w:r>
              <w:rPr>
                <w:rFonts w:eastAsia="仿宋_GB2312"/>
                <w:sz w:val="24"/>
              </w:rPr>
              <w:t>家庭经济困难学生、民族地区就读学生和戏曲表演专业学生免除学费（其他艺术类相关表演专业学生除外）。城市家庭经济困难学生比例按城市在校生</w:t>
            </w:r>
            <w:r>
              <w:rPr>
                <w:rFonts w:eastAsia="仿宋_GB2312"/>
                <w:sz w:val="24"/>
              </w:rPr>
              <w:t>5%</w:t>
            </w:r>
            <w:r>
              <w:rPr>
                <w:rFonts w:eastAsia="仿宋_GB2312"/>
                <w:sz w:val="24"/>
              </w:rPr>
              <w:t>的</w:t>
            </w:r>
            <w:r>
              <w:rPr>
                <w:rFonts w:eastAsia="仿宋_GB2312" w:hint="eastAsia"/>
                <w:sz w:val="24"/>
              </w:rPr>
              <w:t>比例</w:t>
            </w:r>
            <w:r>
              <w:rPr>
                <w:rFonts w:eastAsia="仿宋_GB2312"/>
                <w:sz w:val="24"/>
              </w:rPr>
              <w:t>确定</w:t>
            </w:r>
          </w:p>
        </w:tc>
        <w:tc>
          <w:tcPr>
            <w:tcW w:w="2303"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免学费标准按照市、区人民政府及其价格、财政主管部门批准的公办学校学费标准执行（不含住宿费）</w:t>
            </w:r>
            <w:r>
              <w:rPr>
                <w:rFonts w:eastAsia="仿宋_GB2312" w:hint="eastAsia"/>
                <w:sz w:val="24"/>
              </w:rPr>
              <w:t>。</w:t>
            </w:r>
          </w:p>
        </w:tc>
        <w:tc>
          <w:tcPr>
            <w:tcW w:w="2025"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各级财政负担。</w:t>
            </w:r>
          </w:p>
        </w:tc>
        <w:tc>
          <w:tcPr>
            <w:tcW w:w="1602"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目标人群覆盖率</w:t>
            </w:r>
            <w:r>
              <w:rPr>
                <w:rFonts w:eastAsia="仿宋_GB2312"/>
                <w:sz w:val="24"/>
              </w:rPr>
              <w:t>100%</w:t>
            </w:r>
          </w:p>
        </w:tc>
      </w:tr>
      <w:tr w:rsidR="002C2F4D">
        <w:trPr>
          <w:cantSplit/>
          <w:trHeight w:val="3080"/>
          <w:jc w:val="center"/>
        </w:trPr>
        <w:tc>
          <w:tcPr>
            <w:tcW w:w="142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中等职业教育国家助学金</w:t>
            </w:r>
          </w:p>
        </w:tc>
        <w:tc>
          <w:tcPr>
            <w:tcW w:w="2277"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本市中等职业学校全日制学历教育正式学籍一、二年级在校</w:t>
            </w:r>
            <w:r>
              <w:rPr>
                <w:rFonts w:eastAsia="仿宋_GB2312" w:hint="eastAsia"/>
                <w:sz w:val="24"/>
              </w:rPr>
              <w:t>生中</w:t>
            </w:r>
            <w:r>
              <w:rPr>
                <w:rFonts w:eastAsia="仿宋_GB2312"/>
                <w:sz w:val="24"/>
              </w:rPr>
              <w:t>涉农专业学生和非涉农专业家庭经济困难学生。非涉农专业家庭经济困难学生按在校生</w:t>
            </w:r>
            <w:r>
              <w:rPr>
                <w:rFonts w:eastAsia="仿宋_GB2312"/>
                <w:sz w:val="24"/>
              </w:rPr>
              <w:t>10%</w:t>
            </w:r>
            <w:r>
              <w:rPr>
                <w:rFonts w:eastAsia="仿宋_GB2312"/>
                <w:sz w:val="24"/>
              </w:rPr>
              <w:t>的</w:t>
            </w:r>
            <w:r>
              <w:rPr>
                <w:rFonts w:eastAsia="仿宋_GB2312" w:hint="eastAsia"/>
                <w:sz w:val="24"/>
              </w:rPr>
              <w:t>比例</w:t>
            </w:r>
            <w:r>
              <w:rPr>
                <w:rFonts w:eastAsia="仿宋_GB2312"/>
                <w:sz w:val="24"/>
              </w:rPr>
              <w:t>确定</w:t>
            </w:r>
          </w:p>
        </w:tc>
        <w:tc>
          <w:tcPr>
            <w:tcW w:w="2303"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平均资助标准为每生每年</w:t>
            </w:r>
            <w:r>
              <w:rPr>
                <w:rFonts w:eastAsia="仿宋_GB2312"/>
                <w:sz w:val="24"/>
              </w:rPr>
              <w:t>2000</w:t>
            </w:r>
            <w:r>
              <w:rPr>
                <w:rFonts w:eastAsia="仿宋_GB2312"/>
                <w:sz w:val="24"/>
              </w:rPr>
              <w:t>元</w:t>
            </w:r>
            <w:r>
              <w:rPr>
                <w:rFonts w:eastAsia="仿宋_GB2312" w:hint="eastAsia"/>
                <w:sz w:val="24"/>
              </w:rPr>
              <w:t>。</w:t>
            </w:r>
          </w:p>
        </w:tc>
        <w:tc>
          <w:tcPr>
            <w:tcW w:w="2025"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各级财政负担</w:t>
            </w:r>
            <w:r>
              <w:rPr>
                <w:rFonts w:eastAsia="仿宋_GB2312" w:hint="eastAsia"/>
                <w:sz w:val="24"/>
              </w:rPr>
              <w:t>。</w:t>
            </w:r>
          </w:p>
        </w:tc>
        <w:tc>
          <w:tcPr>
            <w:tcW w:w="1602"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目标人群覆盖率</w:t>
            </w:r>
            <w:r>
              <w:rPr>
                <w:rFonts w:eastAsia="仿宋_GB2312"/>
                <w:sz w:val="24"/>
              </w:rPr>
              <w:t>100%</w:t>
            </w:r>
          </w:p>
        </w:tc>
      </w:tr>
      <w:tr w:rsidR="002C2F4D">
        <w:trPr>
          <w:cantSplit/>
          <w:trHeight w:val="1975"/>
          <w:jc w:val="center"/>
        </w:trPr>
        <w:tc>
          <w:tcPr>
            <w:tcW w:w="142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中等职业教育市政府助学金</w:t>
            </w:r>
          </w:p>
        </w:tc>
        <w:tc>
          <w:tcPr>
            <w:tcW w:w="2277"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本市</w:t>
            </w:r>
            <w:r>
              <w:rPr>
                <w:rFonts w:eastAsia="仿宋_GB2312"/>
                <w:sz w:val="24"/>
              </w:rPr>
              <w:t>中等职业学校全日制学历教育正式学籍一、二年级在校学生中未享受免学费政策且未获得国家助学金的在校学生</w:t>
            </w:r>
            <w:r>
              <w:rPr>
                <w:rFonts w:eastAsia="仿宋_GB2312" w:hint="eastAsia"/>
                <w:sz w:val="24"/>
              </w:rPr>
              <w:t>（未在本市中等职业学校就读的联合办学学生不在天津市人民政府助学金资助范围）</w:t>
            </w:r>
          </w:p>
        </w:tc>
        <w:tc>
          <w:tcPr>
            <w:tcW w:w="2303"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每生每年</w:t>
            </w:r>
            <w:r>
              <w:rPr>
                <w:rFonts w:eastAsia="仿宋_GB2312"/>
                <w:sz w:val="24"/>
              </w:rPr>
              <w:t>500</w:t>
            </w:r>
            <w:r>
              <w:rPr>
                <w:rFonts w:eastAsia="仿宋_GB2312" w:hint="eastAsia"/>
                <w:sz w:val="24"/>
              </w:rPr>
              <w:t>元。</w:t>
            </w:r>
          </w:p>
        </w:tc>
        <w:tc>
          <w:tcPr>
            <w:tcW w:w="2025"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市、区财政负担。</w:t>
            </w:r>
          </w:p>
        </w:tc>
        <w:tc>
          <w:tcPr>
            <w:tcW w:w="1602"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目标人群覆盖率</w:t>
            </w:r>
            <w:r>
              <w:rPr>
                <w:rFonts w:eastAsia="仿宋_GB2312"/>
                <w:sz w:val="24"/>
              </w:rPr>
              <w:t>100%</w:t>
            </w:r>
          </w:p>
        </w:tc>
      </w:tr>
      <w:tr w:rsidR="002C2F4D">
        <w:trPr>
          <w:cantSplit/>
          <w:trHeight w:val="585"/>
          <w:jc w:val="center"/>
        </w:trPr>
        <w:tc>
          <w:tcPr>
            <w:tcW w:w="142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普通高中国家助学金</w:t>
            </w:r>
          </w:p>
        </w:tc>
        <w:tc>
          <w:tcPr>
            <w:tcW w:w="2277"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具有正式学籍的</w:t>
            </w:r>
            <w:r>
              <w:rPr>
                <w:rFonts w:eastAsia="仿宋_GB2312" w:hint="eastAsia"/>
                <w:sz w:val="24"/>
              </w:rPr>
              <w:t>本市</w:t>
            </w:r>
            <w:r>
              <w:rPr>
                <w:rFonts w:eastAsia="仿宋_GB2312"/>
                <w:sz w:val="24"/>
              </w:rPr>
              <w:t>普通高中在校生中的家庭经济困难学生</w:t>
            </w:r>
          </w:p>
        </w:tc>
        <w:tc>
          <w:tcPr>
            <w:tcW w:w="2303"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平均资助标准为每生每年</w:t>
            </w:r>
            <w:r>
              <w:rPr>
                <w:rFonts w:eastAsia="仿宋_GB2312"/>
                <w:sz w:val="24"/>
              </w:rPr>
              <w:t>2000</w:t>
            </w:r>
            <w:r>
              <w:rPr>
                <w:rFonts w:eastAsia="仿宋_GB2312" w:hint="eastAsia"/>
                <w:sz w:val="24"/>
              </w:rPr>
              <w:t>元。</w:t>
            </w:r>
          </w:p>
        </w:tc>
        <w:tc>
          <w:tcPr>
            <w:tcW w:w="2025"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各级财政负担。</w:t>
            </w:r>
          </w:p>
        </w:tc>
        <w:tc>
          <w:tcPr>
            <w:tcW w:w="1602"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目标人群覆盖率</w:t>
            </w:r>
            <w:r>
              <w:rPr>
                <w:rFonts w:eastAsia="仿宋_GB2312"/>
                <w:sz w:val="24"/>
              </w:rPr>
              <w:t>100%</w:t>
            </w:r>
          </w:p>
        </w:tc>
      </w:tr>
      <w:tr w:rsidR="002C2F4D">
        <w:trPr>
          <w:cantSplit/>
          <w:trHeight w:val="1246"/>
          <w:jc w:val="center"/>
        </w:trPr>
        <w:tc>
          <w:tcPr>
            <w:tcW w:w="1421"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普通高中免学杂费</w:t>
            </w:r>
          </w:p>
        </w:tc>
        <w:tc>
          <w:tcPr>
            <w:tcW w:w="2277"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ascii="仿宋" w:eastAsia="仿宋" w:hAnsi="仿宋" w:cs="仿宋"/>
                <w:sz w:val="24"/>
              </w:rPr>
            </w:pPr>
            <w:r>
              <w:rPr>
                <w:rFonts w:eastAsia="仿宋_GB2312"/>
                <w:sz w:val="24"/>
              </w:rPr>
              <w:t>具有正式学籍的本市普通高中建档立卡等家庭经济困难学生（含非建档立卡的家庭经济困难残疾学生、农村低保家庭学生、农村特困救助供养学生）</w:t>
            </w:r>
          </w:p>
        </w:tc>
        <w:tc>
          <w:tcPr>
            <w:tcW w:w="2303"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免学杂费标准按照市、区人民政府及其价格、财政主管部门批准的公办学校学杂费标准执行（不含住宿费）</w:t>
            </w:r>
            <w:r>
              <w:rPr>
                <w:rFonts w:eastAsia="仿宋_GB2312" w:hint="eastAsia"/>
                <w:sz w:val="24"/>
              </w:rPr>
              <w:t>。</w:t>
            </w:r>
          </w:p>
        </w:tc>
        <w:tc>
          <w:tcPr>
            <w:tcW w:w="2025"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hint="eastAsia"/>
                <w:sz w:val="24"/>
              </w:rPr>
              <w:t>各级财政负担。</w:t>
            </w:r>
          </w:p>
        </w:tc>
        <w:tc>
          <w:tcPr>
            <w:tcW w:w="1602" w:type="dxa"/>
            <w:tcBorders>
              <w:top w:val="single" w:sz="4" w:space="0" w:color="000000"/>
              <w:left w:val="single" w:sz="4" w:space="0" w:color="000000"/>
              <w:bottom w:val="single" w:sz="4" w:space="0" w:color="000000"/>
              <w:right w:val="single" w:sz="4" w:space="0" w:color="000000"/>
            </w:tcBorders>
            <w:vAlign w:val="center"/>
          </w:tcPr>
          <w:p w:rsidR="002C2F4D" w:rsidRDefault="00061D81">
            <w:pPr>
              <w:adjustRightInd w:val="0"/>
              <w:snapToGrid w:val="0"/>
              <w:rPr>
                <w:rFonts w:eastAsia="仿宋_GB2312"/>
                <w:sz w:val="24"/>
              </w:rPr>
            </w:pPr>
            <w:r>
              <w:rPr>
                <w:rFonts w:eastAsia="仿宋_GB2312"/>
                <w:sz w:val="24"/>
              </w:rPr>
              <w:t>目标人群覆盖率</w:t>
            </w:r>
            <w:r>
              <w:rPr>
                <w:rFonts w:eastAsia="仿宋_GB2312"/>
                <w:sz w:val="24"/>
              </w:rPr>
              <w:t>100%</w:t>
            </w:r>
          </w:p>
        </w:tc>
      </w:tr>
    </w:tbl>
    <w:p w:rsidR="002C2F4D" w:rsidRDefault="00061D81" w:rsidP="00FA6DB5">
      <w:pPr>
        <w:adjustRightInd w:val="0"/>
        <w:ind w:firstLineChars="200" w:firstLine="462"/>
        <w:jc w:val="left"/>
        <w:rPr>
          <w:rFonts w:ascii="仿宋_GB2312" w:eastAsia="仿宋_GB2312" w:hAnsi="仿宋_GB2312" w:cs="仿宋_GB2312"/>
          <w:sz w:val="24"/>
        </w:rPr>
      </w:pPr>
      <w:r>
        <w:rPr>
          <w:rFonts w:ascii="仿宋_GB2312" w:eastAsia="仿宋_GB2312" w:hAnsi="仿宋_GB2312" w:cs="仿宋_GB2312" w:hint="eastAsia"/>
          <w:sz w:val="24"/>
        </w:rPr>
        <w:t>注：各级财政负担，即中央、市、区财政负担。下同。</w:t>
      </w:r>
    </w:p>
    <w:p w:rsidR="002C2F4D" w:rsidRDefault="002C2F4D">
      <w:pPr>
        <w:adjustRightInd w:val="0"/>
        <w:ind w:firstLine="460"/>
        <w:jc w:val="left"/>
        <w:rPr>
          <w:rFonts w:ascii="仿宋_GB2312" w:eastAsia="仿宋_GB2312" w:hAnsi="仿宋_GB2312" w:cs="仿宋_GB2312"/>
          <w:sz w:val="32"/>
          <w:szCs w:val="32"/>
        </w:rPr>
      </w:pPr>
    </w:p>
    <w:p w:rsidR="002C2F4D" w:rsidRDefault="00061D81">
      <w:pPr>
        <w:adjustRightInd w:val="0"/>
        <w:jc w:val="center"/>
        <w:rPr>
          <w:rFonts w:ascii="黑体" w:eastAsia="黑体" w:hAnsi="黑体" w:cs="黑体"/>
          <w:sz w:val="32"/>
          <w:szCs w:val="32"/>
        </w:rPr>
      </w:pPr>
      <w:bookmarkStart w:id="20" w:name="_Toc65837391"/>
      <w:r>
        <w:rPr>
          <w:rFonts w:ascii="黑体" w:eastAsia="黑体" w:hAnsi="黑体" w:cs="黑体" w:hint="eastAsia"/>
          <w:sz w:val="32"/>
          <w:szCs w:val="32"/>
        </w:rPr>
        <w:t>第三节</w:t>
      </w:r>
      <w:r>
        <w:rPr>
          <w:rFonts w:ascii="黑体" w:eastAsia="黑体" w:hAnsi="黑体" w:cs="黑体" w:hint="eastAsia"/>
          <w:sz w:val="32"/>
          <w:szCs w:val="32"/>
        </w:rPr>
        <w:t xml:space="preserve"> </w:t>
      </w:r>
      <w:r>
        <w:rPr>
          <w:rFonts w:ascii="黑体" w:eastAsia="黑体" w:hAnsi="黑体" w:cs="黑体"/>
          <w:sz w:val="32"/>
          <w:szCs w:val="32"/>
        </w:rPr>
        <w:t xml:space="preserve"> </w:t>
      </w:r>
      <w:r>
        <w:rPr>
          <w:rFonts w:ascii="黑体" w:eastAsia="黑体" w:hAnsi="黑体" w:cs="黑体" w:hint="eastAsia"/>
          <w:sz w:val="32"/>
          <w:szCs w:val="32"/>
        </w:rPr>
        <w:t>保障工程</w:t>
      </w:r>
      <w:bookmarkEnd w:id="20"/>
    </w:p>
    <w:p w:rsidR="002C2F4D" w:rsidRDefault="002C2F4D">
      <w:pPr>
        <w:adjustRightInd w:val="0"/>
        <w:jc w:val="center"/>
        <w:rPr>
          <w:sz w:val="32"/>
          <w:szCs w:val="32"/>
        </w:rPr>
      </w:pPr>
    </w:p>
    <w:p w:rsidR="002C2F4D" w:rsidRDefault="00061D81" w:rsidP="00FA6DB5">
      <w:pPr>
        <w:adjustRightInd w:val="0"/>
        <w:ind w:firstLineChars="200" w:firstLine="622"/>
        <w:rPr>
          <w:rFonts w:ascii="仿宋_GB2312" w:eastAsia="仿宋_GB2312"/>
          <w:b/>
          <w:sz w:val="32"/>
          <w:szCs w:val="32"/>
        </w:rPr>
      </w:pPr>
      <w:r>
        <w:rPr>
          <w:rFonts w:ascii="楷体_GB2312" w:eastAsia="楷体_GB2312" w:hAnsi="楷体_GB2312" w:cs="楷体_GB2312" w:hint="eastAsia"/>
          <w:bCs/>
          <w:sz w:val="32"/>
          <w:szCs w:val="32"/>
        </w:rPr>
        <w:t>实施学前教育普及普惠安全优质发展计划。</w:t>
      </w:r>
      <w:r>
        <w:rPr>
          <w:rFonts w:ascii="仿宋_GB2312" w:eastAsia="仿宋_GB2312" w:hAnsi="仿宋_GB2312" w:cs="仿宋_GB2312"/>
          <w:sz w:val="32"/>
          <w:szCs w:val="32"/>
        </w:rPr>
        <w:t>完善普惠性民办幼儿园奖补和监管政策</w:t>
      </w:r>
      <w:r>
        <w:rPr>
          <w:rFonts w:ascii="仿宋_GB2312" w:eastAsia="仿宋_GB2312" w:hAnsi="仿宋_GB2312" w:cs="仿宋_GB2312" w:hint="eastAsia"/>
          <w:sz w:val="32"/>
          <w:szCs w:val="32"/>
        </w:rPr>
        <w:t>，扩大优质学前教育资源覆盖面。加强幼儿教师队伍建设，推动落实幼儿园教职工配备标准。</w:t>
      </w:r>
      <w:r>
        <w:rPr>
          <w:rFonts w:ascii="仿宋_GB2312" w:eastAsia="仿宋_GB2312" w:hAnsi="仿宋_GB2312" w:cs="仿宋_GB2312"/>
          <w:sz w:val="32"/>
          <w:szCs w:val="32"/>
        </w:rPr>
        <w:t>实施保教质量提升项目，全面提升幼儿园保教质量。</w:t>
      </w:r>
      <w:r>
        <w:rPr>
          <w:rFonts w:ascii="仿宋_GB2312" w:eastAsia="仿宋_GB2312" w:hAnsi="仿宋_GB2312" w:cs="仿宋_GB2312" w:hint="eastAsia"/>
          <w:sz w:val="32"/>
          <w:szCs w:val="32"/>
        </w:rPr>
        <w:t>实施农村幼儿园装备水平提升工程，加强农村幼儿园玩教具规范管理，建立优质园与薄弱园、农村园的结对帮扶机制</w:t>
      </w:r>
      <w:r>
        <w:rPr>
          <w:rFonts w:ascii="仿宋_GB2312" w:eastAsia="仿宋_GB2312" w:hAnsi="仿宋_GB2312" w:cs="仿宋_GB2312"/>
          <w:sz w:val="32"/>
          <w:szCs w:val="32"/>
        </w:rPr>
        <w:t>。规范幼儿园办园行为，深化幼儿园与小学教育的双向衔接，杜绝</w:t>
      </w:r>
      <w:r>
        <w:rPr>
          <w:rFonts w:ascii="仿宋_GB2312" w:eastAsia="仿宋_GB2312" w:hAnsi="仿宋_GB2312" w:cs="仿宋_GB2312"/>
          <w:sz w:val="32"/>
          <w:szCs w:val="32"/>
        </w:rPr>
        <w:t>“</w:t>
      </w:r>
      <w:r>
        <w:rPr>
          <w:rFonts w:ascii="仿宋_GB2312" w:eastAsia="仿宋_GB2312" w:hAnsi="仿宋_GB2312" w:cs="仿宋_GB2312"/>
          <w:sz w:val="32"/>
          <w:szCs w:val="32"/>
        </w:rPr>
        <w:t>小学化</w:t>
      </w:r>
      <w:r>
        <w:rPr>
          <w:rFonts w:ascii="仿宋_GB2312" w:eastAsia="仿宋_GB2312" w:hAnsi="仿宋_GB2312" w:cs="仿宋_GB2312"/>
          <w:sz w:val="32"/>
          <w:szCs w:val="32"/>
        </w:rPr>
        <w:t>”</w:t>
      </w:r>
      <w:r>
        <w:rPr>
          <w:rFonts w:ascii="仿宋_GB2312" w:eastAsia="仿宋_GB2312" w:hAnsi="仿宋_GB2312" w:cs="仿宋_GB2312"/>
          <w:sz w:val="32"/>
          <w:szCs w:val="32"/>
        </w:rPr>
        <w:t>倾向。建立健全家庭教育的指导机制，</w:t>
      </w:r>
      <w:r>
        <w:rPr>
          <w:rFonts w:ascii="仿宋_GB2312" w:eastAsia="仿宋_GB2312" w:hAnsi="仿宋_GB2312" w:cs="仿宋_GB2312" w:hint="eastAsia"/>
          <w:sz w:val="32"/>
          <w:szCs w:val="32"/>
        </w:rPr>
        <w:t>实施家园共育</w:t>
      </w:r>
      <w:r>
        <w:rPr>
          <w:rFonts w:ascii="仿宋_GB2312" w:eastAsia="仿宋_GB2312" w:hAnsi="仿宋_GB2312" w:cs="仿宋_GB2312"/>
          <w:sz w:val="32"/>
          <w:szCs w:val="32"/>
        </w:rPr>
        <w:t>。</w:t>
      </w:r>
    </w:p>
    <w:p w:rsidR="002C2F4D" w:rsidRDefault="00061D81" w:rsidP="00FA6DB5">
      <w:pPr>
        <w:adjustRightInd w:val="0"/>
        <w:ind w:firstLineChars="200" w:firstLine="622"/>
        <w:rPr>
          <w:rFonts w:ascii="仿宋_GB2312" w:eastAsia="仿宋_GB2312" w:hAnsi="仿宋_GB2312" w:cs="仿宋_GB2312"/>
          <w:sz w:val="32"/>
          <w:szCs w:val="32"/>
        </w:rPr>
      </w:pPr>
      <w:r>
        <w:rPr>
          <w:rFonts w:ascii="楷体_GB2312" w:eastAsia="楷体_GB2312" w:hAnsi="楷体_GB2312" w:cs="楷体_GB2312" w:hint="eastAsia"/>
          <w:bCs/>
          <w:sz w:val="32"/>
          <w:szCs w:val="32"/>
        </w:rPr>
        <w:t>实施义务教育优质均衡发展计划。</w:t>
      </w:r>
      <w:r>
        <w:rPr>
          <w:rFonts w:ascii="仿宋_GB2312" w:eastAsia="仿宋_GB2312" w:hAnsi="仿宋_GB2312" w:cs="仿宋_GB2312" w:hint="eastAsia"/>
          <w:sz w:val="32"/>
          <w:szCs w:val="32"/>
        </w:rPr>
        <w:t>启动义务教育学位资源建设三年行动计划，通过新建、扩建学校，挖掘中心城区资源潜力等方式，补足义务教育学</w:t>
      </w:r>
      <w:r>
        <w:rPr>
          <w:rFonts w:ascii="仿宋_GB2312" w:eastAsia="仿宋_GB2312" w:hAnsi="仿宋_GB2312" w:cs="仿宋_GB2312" w:hint="eastAsia"/>
          <w:sz w:val="32"/>
          <w:szCs w:val="32"/>
        </w:rPr>
        <w:t>位缺口。对中小学</w:t>
      </w:r>
      <w:r>
        <w:rPr>
          <w:rFonts w:eastAsia="仿宋_GB2312"/>
          <w:sz w:val="32"/>
          <w:szCs w:val="32"/>
        </w:rPr>
        <w:t>C</w:t>
      </w:r>
      <w:r>
        <w:rPr>
          <w:rFonts w:ascii="仿宋_GB2312" w:eastAsia="仿宋_GB2312" w:hAnsi="仿宋_GB2312" w:cs="仿宋_GB2312"/>
          <w:sz w:val="32"/>
          <w:szCs w:val="32"/>
        </w:rPr>
        <w:t>级校舍进行提升改造，实现校舍安全达标。新建或提升改造中小学校体育场馆，补齐中小学体育运动场馆缺口。实施新增中小学教学仪器配置项目，按照标准补充更新教学仪器设备。</w:t>
      </w:r>
      <w:r>
        <w:rPr>
          <w:rFonts w:eastAsia="仿宋_GB2312" w:hint="eastAsia"/>
          <w:sz w:val="32"/>
          <w:szCs w:val="32"/>
        </w:rPr>
        <w:t>滨海新区加快创建全国义务教育优质均衡发展区，做强做优市教委直属学校与滨海新区已合作建立的学校，加快市教委直属学校与滨海新区合作办学进程。</w:t>
      </w:r>
    </w:p>
    <w:p w:rsidR="002C2F4D" w:rsidRDefault="00061D81" w:rsidP="00FA6DB5">
      <w:pPr>
        <w:adjustRightInd w:val="0"/>
        <w:ind w:firstLineChars="200" w:firstLine="622"/>
        <w:rPr>
          <w:rFonts w:ascii="仿宋_GB2312" w:eastAsia="仿宋_GB2312" w:hAnsi="仿宋_GB2312" w:cs="仿宋_GB2312"/>
          <w:sz w:val="32"/>
          <w:szCs w:val="32"/>
        </w:rPr>
      </w:pPr>
      <w:r>
        <w:rPr>
          <w:rFonts w:ascii="楷体_GB2312" w:eastAsia="楷体_GB2312" w:hAnsi="楷体_GB2312" w:cs="楷体_GB2312" w:hint="eastAsia"/>
          <w:bCs/>
          <w:sz w:val="32"/>
          <w:szCs w:val="32"/>
        </w:rPr>
        <w:t>实施品牌高中建设工程。</w:t>
      </w:r>
      <w:r>
        <w:rPr>
          <w:rFonts w:ascii="仿宋_GB2312" w:eastAsia="仿宋_GB2312" w:hAnsi="仿宋_GB2312" w:cs="仿宋_GB2312" w:hint="eastAsia"/>
          <w:sz w:val="32"/>
          <w:szCs w:val="32"/>
        </w:rPr>
        <w:t>遴选建设一批办学理念先进、办学队伍一流、育人评价机制科学、核心品牌价值突出的天津市品牌高中。持续推进普通高中学科特色课程基地建设，实施普通高中新课程新教材国家级示范区、示范校</w:t>
      </w:r>
      <w:r>
        <w:rPr>
          <w:rFonts w:ascii="仿宋_GB2312" w:eastAsia="仿宋_GB2312" w:hAnsi="仿宋_GB2312" w:cs="仿宋_GB2312" w:hint="eastAsia"/>
          <w:sz w:val="32"/>
          <w:szCs w:val="32"/>
        </w:rPr>
        <w:t>和市级实验区、实验校建设项目，进一步深化普通高中课程教学改革，不断完善选课走班教学管理机制，加强学生发展与指导。</w:t>
      </w:r>
    </w:p>
    <w:p w:rsidR="002C2F4D" w:rsidRDefault="00061D81" w:rsidP="00FA6DB5">
      <w:pPr>
        <w:pStyle w:val="a8"/>
        <w:widowControl w:val="0"/>
        <w:adjustRightInd w:val="0"/>
        <w:ind w:firstLineChars="200" w:firstLine="622"/>
        <w:rPr>
          <w:rFonts w:ascii="仿宋_GB2312" w:eastAsia="仿宋_GB2312" w:hAnsi="仿宋_GB2312" w:cs="仿宋_GB2312"/>
          <w:sz w:val="32"/>
          <w:szCs w:val="32"/>
        </w:rPr>
      </w:pPr>
      <w:r>
        <w:rPr>
          <w:rFonts w:ascii="楷体_GB2312" w:eastAsia="楷体_GB2312" w:hAnsi="楷体_GB2312" w:cs="楷体_GB2312" w:hint="eastAsia"/>
          <w:bCs/>
          <w:kern w:val="2"/>
          <w:sz w:val="32"/>
          <w:szCs w:val="32"/>
        </w:rPr>
        <w:t>实施职业教育领先发展计划。</w:t>
      </w:r>
      <w:r>
        <w:rPr>
          <w:rFonts w:ascii="仿宋_GB2312" w:eastAsia="仿宋_GB2312" w:hAnsi="仿宋_GB2312" w:cs="仿宋_GB2312" w:hint="eastAsia"/>
          <w:sz w:val="32"/>
          <w:szCs w:val="32"/>
        </w:rPr>
        <w:t>增强中西部地区职业教育师资培训中心的服务能力，加强职业教育教学资源开发与制作中心、职业教育质量发展研究中心的能力建设。推进国家产教融合型试点城市建设，成立产教融合研究院，聚焦轨道交通、航空航天、人工智能、先进制造等产业发展前沿，建设相关职业教育产教融合实训基地。完善德技并修、工学结合的育人机制，在技术性、实践性较强的专业全面推行现代学徒制和企业新型学徒制，形成具有职业教</w:t>
      </w:r>
      <w:r>
        <w:rPr>
          <w:rFonts w:ascii="仿宋_GB2312" w:eastAsia="仿宋_GB2312" w:hAnsi="仿宋_GB2312" w:cs="仿宋_GB2312" w:hint="eastAsia"/>
          <w:sz w:val="32"/>
          <w:szCs w:val="32"/>
        </w:rPr>
        <w:t>育特色的人才培养模式。做好高职院校招生工作，加强培养过程管理和教学质量监控，保证人才培养质量。</w:t>
      </w:r>
    </w:p>
    <w:p w:rsidR="002C2F4D" w:rsidRDefault="00061D81" w:rsidP="00FA6DB5">
      <w:pPr>
        <w:adjustRightInd w:val="0"/>
        <w:ind w:firstLineChars="200" w:firstLine="622"/>
        <w:rPr>
          <w:rFonts w:ascii="黑体" w:eastAsia="黑体"/>
          <w:bCs/>
          <w:kern w:val="0"/>
          <w:sz w:val="32"/>
          <w:szCs w:val="32"/>
        </w:rPr>
      </w:pPr>
      <w:r>
        <w:rPr>
          <w:rFonts w:ascii="楷体_GB2312" w:eastAsia="楷体_GB2312" w:hAnsi="楷体_GB2312" w:cs="楷体_GB2312" w:hint="eastAsia"/>
          <w:bCs/>
          <w:sz w:val="32"/>
          <w:szCs w:val="32"/>
        </w:rPr>
        <w:t>实施新时代教师队伍建设计划。</w:t>
      </w:r>
      <w:r>
        <w:rPr>
          <w:rFonts w:ascii="仿宋_GB2312" w:eastAsia="仿宋_GB2312" w:hAnsi="仿宋_GB2312" w:cs="仿宋_GB2312" w:hint="eastAsia"/>
          <w:sz w:val="32"/>
          <w:szCs w:val="32"/>
        </w:rPr>
        <w:t>提高基础教育教师专业化水平。实施“未来教育家行动计划”、“特级教师训练营计划”、第二期“追求卓越幼教师资培训项目”、“中小学校长领导力提升计划”和“杰出津门校长、班主任、教师支持计划”等项目，培养政治过硬的教育家型名师、名校（园）长。实施“新时代乡村教师专业发展助力计划”、“乡村幼儿园骨干师资专业发展助力计划”，全面提升乡村教师教育教学能力。完善市、区、校三级教师培训体系，深化区级教师</w:t>
      </w:r>
      <w:r>
        <w:rPr>
          <w:rFonts w:ascii="仿宋_GB2312" w:eastAsia="仿宋_GB2312" w:hAnsi="仿宋_GB2312" w:cs="仿宋_GB2312" w:hint="eastAsia"/>
          <w:sz w:val="32"/>
          <w:szCs w:val="32"/>
        </w:rPr>
        <w:t>发展机构建设与改革，强化校本培训，加强中小学教师培训信息化综合服务平台建设，提高中小学教师全员继续教育培训质量。实施中小学教师信息技术应用能力提升工程</w:t>
      </w:r>
      <w:r>
        <w:rPr>
          <w:rFonts w:eastAsia="仿宋_GB2312"/>
          <w:sz w:val="32"/>
          <w:szCs w:val="32"/>
        </w:rPr>
        <w:t>2.0</w:t>
      </w:r>
      <w:r>
        <w:rPr>
          <w:rFonts w:ascii="仿宋_GB2312" w:eastAsia="仿宋_GB2312" w:hAnsi="仿宋_GB2312" w:cs="仿宋_GB2312" w:hint="eastAsia"/>
          <w:sz w:val="32"/>
          <w:szCs w:val="32"/>
        </w:rPr>
        <w:t>，加强信息技术应用能力培训，全面提升校长信息化领导力、教师信息化教学能力。持续推进“幼儿园教师和保育员能力提升计划”，全面提升幼儿园保教人员能力素质。深入实施“特殊教育教师培元关爱计划”，持续加强特教教师心理健康指导。</w:t>
      </w:r>
      <w:bookmarkStart w:id="21" w:name="_Toc65837392"/>
      <w:bookmarkEnd w:id="13"/>
      <w:bookmarkEnd w:id="14"/>
    </w:p>
    <w:p w:rsidR="002C2F4D" w:rsidRDefault="002C2F4D">
      <w:pPr>
        <w:rPr>
          <w:rFonts w:ascii="黑体" w:eastAsia="黑体"/>
          <w:bCs/>
          <w:kern w:val="0"/>
          <w:sz w:val="32"/>
          <w:szCs w:val="32"/>
        </w:rPr>
      </w:pPr>
    </w:p>
    <w:p w:rsidR="002C2F4D" w:rsidRDefault="00061D81">
      <w:pPr>
        <w:jc w:val="center"/>
        <w:rPr>
          <w:rFonts w:ascii="方正小标宋_GBK" w:eastAsia="方正小标宋_GBK" w:hAnsi="方正小标宋_GBK" w:cs="方正小标宋_GBK"/>
          <w:bCs/>
          <w:kern w:val="0"/>
          <w:sz w:val="32"/>
          <w:szCs w:val="32"/>
        </w:rPr>
      </w:pPr>
      <w:r>
        <w:rPr>
          <w:rFonts w:ascii="方正小标宋_GBK" w:eastAsia="方正小标宋_GBK" w:hAnsi="方正小标宋_GBK" w:cs="方正小标宋_GBK" w:hint="eastAsia"/>
          <w:bCs/>
          <w:kern w:val="0"/>
          <w:sz w:val="32"/>
          <w:szCs w:val="32"/>
        </w:rPr>
        <w:t>第四章</w:t>
      </w:r>
      <w:r>
        <w:rPr>
          <w:rFonts w:ascii="方正小标宋_GBK" w:eastAsia="方正小标宋_GBK" w:hAnsi="方正小标宋_GBK" w:cs="方正小标宋_GBK" w:hint="eastAsia"/>
          <w:bCs/>
          <w:kern w:val="0"/>
          <w:sz w:val="32"/>
          <w:szCs w:val="32"/>
        </w:rPr>
        <w:t xml:space="preserve">  </w:t>
      </w:r>
      <w:r>
        <w:rPr>
          <w:rFonts w:ascii="方正小标宋_GBK" w:eastAsia="方正小标宋_GBK" w:hAnsi="方正小标宋_GBK" w:cs="方正小标宋_GBK" w:hint="eastAsia"/>
          <w:bCs/>
          <w:kern w:val="0"/>
          <w:sz w:val="32"/>
          <w:szCs w:val="32"/>
        </w:rPr>
        <w:t>就业与社会保障</w:t>
      </w:r>
      <w:bookmarkEnd w:id="21"/>
    </w:p>
    <w:p w:rsidR="002C2F4D" w:rsidRDefault="002C2F4D">
      <w:pPr>
        <w:jc w:val="center"/>
        <w:outlineLvl w:val="0"/>
        <w:rPr>
          <w:rFonts w:ascii="黑体" w:eastAsia="黑体"/>
          <w:bCs/>
          <w:kern w:val="0"/>
          <w:sz w:val="32"/>
          <w:szCs w:val="32"/>
        </w:rPr>
      </w:pPr>
    </w:p>
    <w:p w:rsidR="002C2F4D" w:rsidRDefault="00061D81">
      <w:pPr>
        <w:pStyle w:val="3"/>
        <w:keepNext w:val="0"/>
        <w:keepLines w:val="0"/>
        <w:spacing w:before="0" w:after="0" w:line="240" w:lineRule="auto"/>
        <w:jc w:val="center"/>
        <w:rPr>
          <w:rFonts w:ascii="黑体" w:eastAsia="黑体" w:hAnsi="黑体" w:cs="黑体"/>
          <w:b w:val="0"/>
          <w:bCs w:val="0"/>
        </w:rPr>
      </w:pPr>
      <w:bookmarkStart w:id="22" w:name="_Toc65837393"/>
      <w:r>
        <w:rPr>
          <w:rFonts w:ascii="黑体" w:eastAsia="黑体" w:hAnsi="黑体" w:cs="黑体" w:hint="eastAsia"/>
          <w:b w:val="0"/>
          <w:bCs w:val="0"/>
        </w:rPr>
        <w:t>第一节</w:t>
      </w:r>
      <w:r>
        <w:rPr>
          <w:rFonts w:ascii="黑体" w:eastAsia="黑体" w:hAnsi="黑体" w:cs="黑体" w:hint="eastAsia"/>
          <w:b w:val="0"/>
          <w:bCs w:val="0"/>
        </w:rPr>
        <w:t xml:space="preserve">  </w:t>
      </w:r>
      <w:r>
        <w:rPr>
          <w:rFonts w:ascii="黑体" w:eastAsia="黑体" w:hAnsi="黑体" w:cs="黑体" w:hint="eastAsia"/>
          <w:b w:val="0"/>
          <w:bCs w:val="0"/>
        </w:rPr>
        <w:t>重点任务</w:t>
      </w:r>
      <w:bookmarkEnd w:id="22"/>
    </w:p>
    <w:p w:rsidR="002C2F4D" w:rsidRDefault="002C2F4D">
      <w:pPr>
        <w:rPr>
          <w:sz w:val="32"/>
          <w:szCs w:val="32"/>
        </w:rPr>
      </w:pPr>
    </w:p>
    <w:p w:rsidR="002C2F4D" w:rsidRDefault="00061D81" w:rsidP="00FA6DB5">
      <w:pPr>
        <w:adjustRightInd w:val="0"/>
        <w:ind w:firstLineChars="200" w:firstLine="622"/>
        <w:rPr>
          <w:rFonts w:ascii="仿宋_GB2312" w:eastAsia="仿宋_GB2312" w:hAnsi="宋体"/>
          <w:kern w:val="0"/>
          <w:sz w:val="32"/>
          <w:szCs w:val="32"/>
        </w:rPr>
      </w:pPr>
      <w:r>
        <w:rPr>
          <w:rFonts w:ascii="楷体_GB2312" w:eastAsia="楷体_GB2312" w:hAnsi="楷体_GB2312" w:cs="楷体_GB2312" w:hint="eastAsia"/>
          <w:bCs/>
          <w:sz w:val="32"/>
          <w:szCs w:val="32"/>
        </w:rPr>
        <w:t>强化就业优先政策。</w:t>
      </w:r>
      <w:r>
        <w:rPr>
          <w:rFonts w:ascii="仿宋_GB2312" w:eastAsia="仿宋_GB2312" w:hint="eastAsia"/>
          <w:sz w:val="32"/>
          <w:szCs w:val="32"/>
        </w:rPr>
        <w:t>坚持经济发展就业导向，持续完善统筹城乡就业政策体系，不断扩大就业容量，提升就业质量，促进更充分更高质量就业。健全经济发展与扩大就业协同传导机制，结合现代都市型农业、先进制造业以及现代服务业发展，培育新的就业增长极。</w:t>
      </w:r>
      <w:r>
        <w:rPr>
          <w:rFonts w:ascii="仿宋_GB2312" w:eastAsia="仿宋_GB2312" w:hAnsi="宋体" w:cs="仿宋_GB2312" w:hint="eastAsia"/>
          <w:sz w:val="32"/>
          <w:szCs w:val="32"/>
        </w:rPr>
        <w:t>鼓励各类市场主体吸纳就业，支持劳动者自谋职业、自主创业，提高政策的针对性、有效性。拓宽农村劳动力就地就近就业、外出就业和返乡创业渠道。</w:t>
      </w:r>
      <w:r>
        <w:rPr>
          <w:rFonts w:ascii="仿宋_GB2312" w:eastAsia="仿宋_GB2312" w:hint="eastAsia"/>
          <w:sz w:val="32"/>
          <w:szCs w:val="32"/>
        </w:rPr>
        <w:t>进一步消除户籍、地域、性别、身份等影响平等就业的制度障碍，营造公平就业环境。持续实施就业援助制度，对城乡就业困难人员实施分类帮扶，确保零就业家庭动态清零。加强创业孵</w:t>
      </w:r>
      <w:r>
        <w:rPr>
          <w:rFonts w:ascii="仿宋_GB2312" w:eastAsia="仿宋_GB2312" w:hint="eastAsia"/>
          <w:sz w:val="32"/>
          <w:szCs w:val="32"/>
        </w:rPr>
        <w:t>化示范基地建设，进一步完善面向各类群体的创业培训、创业担保贷款、创业孵化等全链条政策帮扶机制，以创业带动就业。促进高校毕业生等青年群体多渠道就业创业。完善灵活就业支持政策，支持和规范发展新就业形态。健全全面科学的就业失业统计调查体系，强化失业预警监测机制，有效防范规模性失业风险。</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bCs/>
          <w:sz w:val="32"/>
          <w:szCs w:val="32"/>
        </w:rPr>
        <w:t>加强职业技能培训。</w:t>
      </w:r>
      <w:r>
        <w:rPr>
          <w:rFonts w:ascii="仿宋_GB2312" w:eastAsia="仿宋_GB2312" w:hAnsi="宋体" w:cs="仿宋_GB2312" w:hint="eastAsia"/>
          <w:sz w:val="32"/>
          <w:szCs w:val="32"/>
        </w:rPr>
        <w:t>建立健全面向城乡全体劳动者的终身职业技能培训体系，推进职业技能培训地方立法，明确政府、企业和个人在职业技能培训中的职责、权利和义务。建设基于网络管理的实名制终身职业技能培训信息管理系统，构建网络化、数字化、个性化</w:t>
      </w:r>
      <w:r>
        <w:rPr>
          <w:rFonts w:ascii="仿宋_GB2312" w:eastAsia="仿宋_GB2312" w:hAnsi="宋体" w:cs="仿宋_GB2312" w:hint="eastAsia"/>
          <w:sz w:val="32"/>
          <w:szCs w:val="32"/>
        </w:rPr>
        <w:t>、终身化的职业培训体系，实现职业技能培训与企业用工需求精准对接。</w:t>
      </w:r>
      <w:r>
        <w:rPr>
          <w:rFonts w:ascii="仿宋_GB2312" w:eastAsia="仿宋_GB2312" w:hAnsi="仿宋_GB2312" w:cs="仿宋_GB2312" w:hint="eastAsia"/>
          <w:sz w:val="32"/>
          <w:szCs w:val="32"/>
        </w:rPr>
        <w:t>大力实施“海河工匠”建设和职业技能提升行动，全面提升重点群体职业技能水平和就业创业能力。</w:t>
      </w:r>
      <w:r>
        <w:rPr>
          <w:rFonts w:ascii="仿宋_GB2312" w:eastAsia="仿宋_GB2312" w:hint="eastAsia"/>
          <w:sz w:val="32"/>
          <w:szCs w:val="32"/>
        </w:rPr>
        <w:t>推进新时代产业工人队伍建设，着力打造一支知识型、技能型、创新型劳动者大军。</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bCs/>
          <w:sz w:val="32"/>
          <w:szCs w:val="32"/>
        </w:rPr>
        <w:t>构建和谐劳动关系。</w:t>
      </w:r>
      <w:r>
        <w:rPr>
          <w:rFonts w:ascii="仿宋_GB2312" w:eastAsia="仿宋_GB2312" w:cs="仿宋_GB2312" w:hint="eastAsia"/>
          <w:sz w:val="32"/>
          <w:szCs w:val="32"/>
        </w:rPr>
        <w:t>健全协调劳动关系三方机制，共同实施劳动关系“和谐同行”能力提升三年行动，协同解决劳动关系领域重大问题。深入推进和谐劳动关系创建活动，评选劳动关系和谐企业，深化</w:t>
      </w:r>
      <w:r>
        <w:rPr>
          <w:rFonts w:ascii="仿宋_GB2312" w:eastAsia="仿宋_GB2312" w:hint="eastAsia"/>
          <w:sz w:val="32"/>
          <w:szCs w:val="32"/>
        </w:rPr>
        <w:t>构建滨海新区和谐劳动关系综合配套改革试点</w:t>
      </w:r>
      <w:r>
        <w:rPr>
          <w:rFonts w:ascii="仿宋_GB2312" w:eastAsia="仿宋_GB2312" w:cs="仿宋_GB2312" w:hint="eastAsia"/>
          <w:sz w:val="32"/>
          <w:szCs w:val="32"/>
        </w:rPr>
        <w:t>。</w:t>
      </w:r>
      <w:r>
        <w:rPr>
          <w:rFonts w:ascii="仿宋_GB2312" w:eastAsia="仿宋_GB2312" w:hint="eastAsia"/>
          <w:sz w:val="32"/>
          <w:szCs w:val="32"/>
        </w:rPr>
        <w:t>推进“互联网</w:t>
      </w:r>
      <w:r>
        <w:rPr>
          <w:rFonts w:ascii="仿宋_GB2312" w:eastAsia="仿宋_GB2312" w:hint="eastAsia"/>
          <w:sz w:val="32"/>
          <w:szCs w:val="32"/>
        </w:rPr>
        <w:t>+</w:t>
      </w:r>
      <w:r>
        <w:rPr>
          <w:rFonts w:ascii="仿宋_GB2312" w:eastAsia="仿宋_GB2312" w:hint="eastAsia"/>
          <w:sz w:val="32"/>
          <w:szCs w:val="32"/>
        </w:rPr>
        <w:t>调解仲裁”建设，落实先行调解制度，加强仲裁机构队伍建</w:t>
      </w:r>
      <w:r>
        <w:rPr>
          <w:rFonts w:ascii="仿宋_GB2312" w:eastAsia="仿宋_GB2312" w:hint="eastAsia"/>
          <w:sz w:val="32"/>
          <w:szCs w:val="32"/>
        </w:rPr>
        <w:t>设。</w:t>
      </w:r>
    </w:p>
    <w:p w:rsidR="002C2F4D" w:rsidRDefault="00061D81" w:rsidP="00FA6DB5">
      <w:pPr>
        <w:adjustRightInd w:val="0"/>
        <w:ind w:firstLineChars="200" w:firstLine="622"/>
        <w:rPr>
          <w:rFonts w:eastAsia="仿宋_GB2312"/>
          <w:sz w:val="32"/>
          <w:szCs w:val="32"/>
        </w:rPr>
      </w:pPr>
      <w:r>
        <w:rPr>
          <w:rFonts w:ascii="楷体_GB2312" w:eastAsia="楷体_GB2312" w:hAnsi="楷体_GB2312" w:cs="楷体_GB2312" w:hint="eastAsia"/>
          <w:bCs/>
          <w:sz w:val="32"/>
          <w:szCs w:val="32"/>
        </w:rPr>
        <w:t>完善养老保险制度。</w:t>
      </w:r>
      <w:r>
        <w:rPr>
          <w:rFonts w:eastAsia="仿宋_GB2312" w:hint="eastAsia"/>
          <w:sz w:val="32"/>
          <w:szCs w:val="32"/>
        </w:rPr>
        <w:t>积极推动落实企业职工基本养老保险全国统筹制度。继续推进机关事业单位养老保险制度平稳运行。构建以基本养老保险为基础，企业年金、职业年金为补充，与个人储蓄性养老保险和商业养老保险相衔接的“三支柱”养老保险体系。不断完善城乡居民基本养老保险制度和被征地农民社会保障政策。落实基本养老保险筹资和待遇调整机制。</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bCs/>
          <w:sz w:val="32"/>
          <w:szCs w:val="32"/>
        </w:rPr>
        <w:t>完善医疗保障制度。</w:t>
      </w:r>
      <w:r>
        <w:rPr>
          <w:rFonts w:ascii="仿宋_GB2312" w:eastAsia="仿宋_GB2312" w:hAnsi="宋体" w:cs="仿宋_GB2312" w:hint="eastAsia"/>
          <w:bCs/>
          <w:kern w:val="0"/>
          <w:sz w:val="32"/>
          <w:szCs w:val="32"/>
        </w:rPr>
        <w:t>深化医疗保障制度改革，严格落实医疗保障待遇清单制度，健全稳健可持续的医保筹资运行机制，健全重特大疾病医疗保险和救助制度，积极发展商业医疗保险。推进长期护理保险制度试点。</w:t>
      </w:r>
      <w:r>
        <w:rPr>
          <w:rFonts w:ascii="仿宋_GB2312" w:eastAsia="仿宋_GB2312" w:hAnsi="宋体" w:cs="仿宋_GB2312" w:hint="eastAsia"/>
          <w:bCs/>
          <w:kern w:val="0"/>
          <w:sz w:val="32"/>
          <w:szCs w:val="32"/>
        </w:rPr>
        <w:t>完善医保目录动态调整机制，加强医保协议管理，持续深化医保支付方式改革。完善医疗保障基金监管体制，探索创新基金监管方式，依法追究欺诈骗保行为责任。全面落实国家组织药品和医用耗材集中带量采购的管理和实施工作，完善医药服务价格形成机制。优化医疗保障公共服务，推进医保标准化和信息化建设，加强医保经办能力建设，持续推进医保治理创新。</w:t>
      </w:r>
      <w:r>
        <w:rPr>
          <w:rFonts w:eastAsia="仿宋_GB2312" w:hint="eastAsia"/>
          <w:sz w:val="32"/>
          <w:szCs w:val="32"/>
        </w:rPr>
        <w:t>健全重大疫情医疗救治医保支付政策，建立特殊群体、特定疾病医药费豁免制度。</w:t>
      </w:r>
    </w:p>
    <w:p w:rsidR="002C2F4D" w:rsidRDefault="00061D81" w:rsidP="00FA6DB5">
      <w:pPr>
        <w:adjustRightInd w:val="0"/>
        <w:ind w:firstLineChars="200" w:firstLine="622"/>
        <w:rPr>
          <w:rFonts w:eastAsia="仿宋_GB2312"/>
          <w:sz w:val="32"/>
          <w:szCs w:val="32"/>
        </w:rPr>
      </w:pPr>
      <w:r>
        <w:rPr>
          <w:rFonts w:ascii="楷体_GB2312" w:eastAsia="楷体_GB2312" w:hAnsi="楷体_GB2312" w:cs="楷体_GB2312" w:hint="eastAsia"/>
          <w:bCs/>
          <w:sz w:val="32"/>
          <w:szCs w:val="32"/>
        </w:rPr>
        <w:t>完善工伤保险制度。</w:t>
      </w:r>
      <w:r>
        <w:rPr>
          <w:rFonts w:eastAsia="仿宋_GB2312" w:hint="eastAsia"/>
          <w:sz w:val="32"/>
          <w:szCs w:val="32"/>
        </w:rPr>
        <w:t>落实国家出台的新业态从业人员职业伤害保障制度。积极推动天津市工伤保险条例立法进程，完善具有地方性特点的配套政策，提升立法层次。健全与经济发展水平相适应的工伤待遇动态调整机制，同步提升工伤职工权益保障水平和基金抗风险水平。</w:t>
      </w:r>
    </w:p>
    <w:p w:rsidR="002C2F4D" w:rsidRDefault="00061D81">
      <w:pPr>
        <w:adjustRightInd w:val="0"/>
        <w:ind w:firstLine="645"/>
        <w:rPr>
          <w:rFonts w:eastAsia="仿宋_GB2312"/>
          <w:sz w:val="32"/>
          <w:szCs w:val="32"/>
        </w:rPr>
      </w:pPr>
      <w:r>
        <w:rPr>
          <w:rFonts w:ascii="楷体_GB2312" w:eastAsia="楷体_GB2312" w:hAnsi="楷体_GB2312" w:cs="楷体_GB2312" w:hint="eastAsia"/>
          <w:bCs/>
          <w:sz w:val="32"/>
          <w:szCs w:val="32"/>
        </w:rPr>
        <w:t>完善失业保险制度。</w:t>
      </w:r>
      <w:r>
        <w:rPr>
          <w:rFonts w:eastAsia="仿宋_GB2312" w:hint="eastAsia"/>
          <w:sz w:val="32"/>
          <w:szCs w:val="32"/>
        </w:rPr>
        <w:t>推动失业保险工作与就业服务、社会保障紧密结合。实施失业保险“畅通领、安全办”，开展援企稳岗“护航行动”和技能提升“展翅行动”，完善失业保险稳岗返还、失业保险技能提升补贴政策，助力企业稳岗位、促就业。对照国家修订标准，推动修订《天津市失业保险条例》，对各项业务环节实行全过程</w:t>
      </w:r>
      <w:r>
        <w:rPr>
          <w:rFonts w:eastAsia="仿宋_GB2312" w:hint="eastAsia"/>
          <w:sz w:val="32"/>
          <w:szCs w:val="32"/>
        </w:rPr>
        <w:t>监督。</w:t>
      </w:r>
    </w:p>
    <w:p w:rsidR="002C2F4D" w:rsidRDefault="00061D81" w:rsidP="00FA6DB5">
      <w:pPr>
        <w:adjustRightInd w:val="0"/>
        <w:ind w:firstLineChars="200" w:firstLine="622"/>
        <w:rPr>
          <w:rFonts w:ascii="仿宋_GB2312" w:eastAsia="仿宋_GB2312"/>
          <w:bCs/>
          <w:sz w:val="32"/>
          <w:szCs w:val="32"/>
        </w:rPr>
      </w:pPr>
      <w:r>
        <w:rPr>
          <w:rFonts w:ascii="楷体_GB2312" w:eastAsia="楷体_GB2312" w:hAnsi="楷体_GB2312" w:cs="楷体_GB2312" w:hint="eastAsia"/>
          <w:bCs/>
          <w:sz w:val="32"/>
          <w:szCs w:val="32"/>
        </w:rPr>
        <w:t>扩大全民参保覆盖面。</w:t>
      </w:r>
      <w:r>
        <w:rPr>
          <w:rFonts w:ascii="仿宋_GB2312" w:eastAsia="仿宋_GB2312" w:hint="eastAsia"/>
          <w:bCs/>
          <w:sz w:val="32"/>
          <w:szCs w:val="32"/>
        </w:rPr>
        <w:t>积极促进有意愿、有经济能力的灵活就业人员、新就业形态从业人员等参加企业职工基本养老保险，实现职工基本养老保险由制度全覆盖到法定人群全覆盖。城乡居民养老保险基本实现适龄参保人员应保尽保。重点推动中小微企业单位积极参加失业保险，实现工伤保险政策从企业职工向职业劳动者的广覆盖。做好参保资源比对排查，实现全民参保数据动态精准管控。</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bCs/>
          <w:sz w:val="32"/>
          <w:szCs w:val="32"/>
        </w:rPr>
        <w:t>推进京津冀医疗保障协同发展</w:t>
      </w:r>
      <w:r>
        <w:rPr>
          <w:rFonts w:ascii="仿宋_GB2312" w:eastAsia="仿宋_GB2312" w:hint="eastAsia"/>
          <w:bCs/>
          <w:sz w:val="32"/>
          <w:szCs w:val="32"/>
        </w:rPr>
        <w:t>。</w:t>
      </w:r>
      <w:r>
        <w:rPr>
          <w:rFonts w:ascii="仿宋_GB2312" w:eastAsia="仿宋_GB2312" w:hint="eastAsia"/>
          <w:sz w:val="32"/>
          <w:szCs w:val="32"/>
        </w:rPr>
        <w:t>在京津冀三地医保定点医疗机构互认工作的基础上，推进同城化报销。推进三地住院、门诊医疗费用直接结算，扩大异地就医直接结算定点医疗机构范围，简化备案和就医等流程，方便群众看病就医报销。加强以京津冀为主体的“</w:t>
      </w:r>
      <w:r>
        <w:rPr>
          <w:rFonts w:eastAsia="仿宋_GB2312"/>
          <w:sz w:val="32"/>
          <w:szCs w:val="32"/>
        </w:rPr>
        <w:t>3</w:t>
      </w:r>
      <w:r>
        <w:rPr>
          <w:rFonts w:ascii="仿宋_GB2312" w:eastAsia="仿宋_GB2312" w:hAnsi="仿宋_GB2312" w:cs="仿宋_GB2312" w:hint="eastAsia"/>
          <w:sz w:val="32"/>
          <w:szCs w:val="32"/>
        </w:rPr>
        <w:t>+</w:t>
      </w:r>
      <w:r>
        <w:rPr>
          <w:rFonts w:eastAsia="仿宋_GB2312"/>
          <w:sz w:val="32"/>
          <w:szCs w:val="32"/>
        </w:rPr>
        <w:t>N</w:t>
      </w:r>
      <w:r>
        <w:rPr>
          <w:rFonts w:ascii="仿宋_GB2312" w:eastAsia="仿宋_GB2312" w:hint="eastAsia"/>
          <w:sz w:val="32"/>
          <w:szCs w:val="32"/>
        </w:rPr>
        <w:t>”药品和医用耗材联合采购联盟建设，强化医药产品集中采购合作，有效降低群众医疗费用负担。推进医疗保障协同监管，共同维护医保基金安全。以京津冀医疗保障协同发展为契机，加强与其他省、自治区、直辖市的医疗保障合作，完善异地就医直接结算，做好跨区域医疗保障管理协同工作。</w:t>
      </w:r>
    </w:p>
    <w:p w:rsidR="002C2F4D" w:rsidRDefault="002C2F4D" w:rsidP="00FA6DB5">
      <w:pPr>
        <w:adjustRightInd w:val="0"/>
        <w:ind w:firstLineChars="200" w:firstLine="622"/>
        <w:rPr>
          <w:rFonts w:ascii="仿宋_GB2312" w:eastAsia="仿宋_GB2312"/>
          <w:sz w:val="32"/>
          <w:szCs w:val="32"/>
        </w:rPr>
      </w:pPr>
    </w:p>
    <w:p w:rsidR="002C2F4D" w:rsidRDefault="00061D81">
      <w:pPr>
        <w:adjustRightInd w:val="0"/>
        <w:jc w:val="center"/>
        <w:outlineLvl w:val="2"/>
        <w:rPr>
          <w:rFonts w:ascii="黑体" w:eastAsia="黑体" w:hAnsi="黑体" w:cs="黑体"/>
          <w:kern w:val="0"/>
          <w:sz w:val="32"/>
          <w:szCs w:val="32"/>
        </w:rPr>
      </w:pPr>
      <w:bookmarkStart w:id="23" w:name="_Toc65837394"/>
      <w:r>
        <w:rPr>
          <w:rFonts w:ascii="黑体" w:eastAsia="黑体" w:hAnsi="黑体" w:cs="黑体" w:hint="eastAsia"/>
          <w:kern w:val="0"/>
          <w:sz w:val="32"/>
          <w:szCs w:val="32"/>
        </w:rPr>
        <w:t>第二节</w:t>
      </w:r>
      <w:r>
        <w:rPr>
          <w:rFonts w:ascii="黑体" w:eastAsia="黑体" w:hAnsi="黑体" w:cs="黑体"/>
          <w:kern w:val="0"/>
          <w:sz w:val="32"/>
          <w:szCs w:val="32"/>
        </w:rPr>
        <w:t xml:space="preserve"> </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基本标准</w:t>
      </w:r>
      <w:bookmarkEnd w:id="23"/>
    </w:p>
    <w:p w:rsidR="002C2F4D" w:rsidRDefault="002C2F4D">
      <w:pPr>
        <w:adjustRightInd w:val="0"/>
        <w:jc w:val="center"/>
        <w:outlineLvl w:val="2"/>
        <w:rPr>
          <w:kern w:val="0"/>
          <w:sz w:val="32"/>
          <w:szCs w:val="32"/>
        </w:rPr>
      </w:pPr>
    </w:p>
    <w:p w:rsidR="002C2F4D" w:rsidRDefault="00061D81" w:rsidP="00FA6DB5">
      <w:pPr>
        <w:adjustRightInd w:val="0"/>
        <w:ind w:firstLineChars="200" w:firstLine="622"/>
        <w:rPr>
          <w:rFonts w:ascii="仿宋_GB2312" w:eastAsia="仿宋_GB2312"/>
          <w:sz w:val="32"/>
          <w:szCs w:val="32"/>
        </w:rPr>
      </w:pPr>
      <w:r>
        <w:rPr>
          <w:rFonts w:ascii="仿宋_GB2312" w:eastAsia="仿宋_GB2312" w:cs="仿宋_GB2312" w:hint="eastAsia"/>
          <w:sz w:val="32"/>
          <w:szCs w:val="32"/>
        </w:rPr>
        <w:t>以就业和社会保障服</w:t>
      </w:r>
      <w:r>
        <w:rPr>
          <w:rFonts w:ascii="仿宋_GB2312" w:eastAsia="仿宋_GB2312" w:cs="仿宋_GB2312" w:hint="eastAsia"/>
          <w:sz w:val="32"/>
          <w:szCs w:val="32"/>
        </w:rPr>
        <w:t>务国家基本标准为基础，结合本市实际情况，制定“十四五”时期天津市就业与社会保障服务基本标准。</w:t>
      </w:r>
    </w:p>
    <w:p w:rsidR="002C2F4D" w:rsidRDefault="00061D81" w:rsidP="00FA6DB5">
      <w:pPr>
        <w:adjustRightInd w:val="0"/>
        <w:spacing w:beforeLines="50" w:before="144"/>
        <w:jc w:val="center"/>
        <w:rPr>
          <w:rFonts w:ascii="黑体" w:eastAsia="黑体" w:hAnsi="黑体" w:cs="黑体"/>
          <w:spacing w:val="6"/>
          <w:sz w:val="32"/>
          <w:szCs w:val="32"/>
        </w:rPr>
      </w:pPr>
      <w:r>
        <w:rPr>
          <w:rFonts w:ascii="黑体" w:eastAsia="黑体" w:hAnsi="黑体" w:cs="黑体" w:hint="eastAsia"/>
          <w:spacing w:val="6"/>
          <w:sz w:val="32"/>
          <w:szCs w:val="32"/>
        </w:rPr>
        <w:t>“十四五”时期天津市就业与社会保障服务基本标准</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0"/>
        <w:gridCol w:w="1738"/>
        <w:gridCol w:w="2754"/>
        <w:gridCol w:w="1900"/>
        <w:gridCol w:w="1524"/>
      </w:tblGrid>
      <w:tr w:rsidR="00061D81" w:rsidTr="00061D81">
        <w:trPr>
          <w:cantSplit/>
          <w:trHeight w:val="454"/>
          <w:tblHeader/>
        </w:trPr>
        <w:tc>
          <w:tcPr>
            <w:tcW w:w="1510" w:type="dxa"/>
            <w:shd w:val="clear" w:color="auto" w:fill="auto"/>
            <w:vAlign w:val="center"/>
          </w:tcPr>
          <w:p w:rsidR="002C2F4D" w:rsidRPr="00061D81" w:rsidRDefault="00061D81" w:rsidP="00061D81">
            <w:pPr>
              <w:adjustRightInd w:val="0"/>
              <w:snapToGrid w:val="0"/>
              <w:jc w:val="center"/>
              <w:rPr>
                <w:rFonts w:ascii="黑体" w:eastAsia="黑体" w:hAnsi="黑体" w:cs="黑体"/>
                <w:kern w:val="0"/>
                <w:sz w:val="24"/>
              </w:rPr>
            </w:pPr>
            <w:r w:rsidRPr="00061D81">
              <w:rPr>
                <w:rFonts w:ascii="黑体" w:eastAsia="黑体" w:hAnsi="黑体" w:cs="黑体" w:hint="eastAsia"/>
                <w:kern w:val="0"/>
                <w:sz w:val="24"/>
              </w:rPr>
              <w:t>服务项目</w:t>
            </w:r>
          </w:p>
        </w:tc>
        <w:tc>
          <w:tcPr>
            <w:tcW w:w="1738" w:type="dxa"/>
            <w:shd w:val="clear" w:color="auto" w:fill="auto"/>
            <w:vAlign w:val="center"/>
          </w:tcPr>
          <w:p w:rsidR="002C2F4D" w:rsidRPr="00061D81" w:rsidRDefault="00061D81" w:rsidP="00061D81">
            <w:pPr>
              <w:adjustRightInd w:val="0"/>
              <w:snapToGrid w:val="0"/>
              <w:jc w:val="center"/>
              <w:rPr>
                <w:rFonts w:ascii="黑体" w:eastAsia="黑体" w:hAnsi="黑体" w:cs="黑体"/>
                <w:kern w:val="0"/>
                <w:sz w:val="24"/>
              </w:rPr>
            </w:pPr>
            <w:r w:rsidRPr="00061D81">
              <w:rPr>
                <w:rFonts w:ascii="黑体" w:eastAsia="黑体" w:hAnsi="黑体" w:cs="黑体" w:hint="eastAsia"/>
                <w:kern w:val="0"/>
                <w:sz w:val="24"/>
              </w:rPr>
              <w:t>服务对象</w:t>
            </w:r>
          </w:p>
        </w:tc>
        <w:tc>
          <w:tcPr>
            <w:tcW w:w="2754" w:type="dxa"/>
            <w:shd w:val="clear" w:color="auto" w:fill="auto"/>
            <w:vAlign w:val="center"/>
          </w:tcPr>
          <w:p w:rsidR="002C2F4D" w:rsidRPr="00061D81" w:rsidRDefault="00061D81" w:rsidP="00061D81">
            <w:pPr>
              <w:adjustRightInd w:val="0"/>
              <w:snapToGrid w:val="0"/>
              <w:jc w:val="center"/>
              <w:rPr>
                <w:rFonts w:ascii="黑体" w:eastAsia="黑体" w:hAnsi="黑体" w:cs="黑体"/>
                <w:kern w:val="0"/>
                <w:sz w:val="24"/>
              </w:rPr>
            </w:pPr>
            <w:r w:rsidRPr="00061D81">
              <w:rPr>
                <w:rFonts w:ascii="黑体" w:eastAsia="黑体" w:hAnsi="黑体" w:cs="黑体" w:hint="eastAsia"/>
                <w:kern w:val="0"/>
                <w:sz w:val="24"/>
              </w:rPr>
              <w:t>保障标准</w:t>
            </w:r>
          </w:p>
        </w:tc>
        <w:tc>
          <w:tcPr>
            <w:tcW w:w="1900" w:type="dxa"/>
            <w:shd w:val="clear" w:color="auto" w:fill="auto"/>
            <w:vAlign w:val="center"/>
          </w:tcPr>
          <w:p w:rsidR="002C2F4D" w:rsidRPr="00061D81" w:rsidRDefault="00061D81" w:rsidP="00061D81">
            <w:pPr>
              <w:adjustRightInd w:val="0"/>
              <w:snapToGrid w:val="0"/>
              <w:jc w:val="center"/>
              <w:rPr>
                <w:rFonts w:ascii="黑体" w:eastAsia="黑体" w:hAnsi="黑体" w:cs="黑体"/>
                <w:kern w:val="0"/>
                <w:sz w:val="24"/>
              </w:rPr>
            </w:pPr>
            <w:r w:rsidRPr="00061D81">
              <w:rPr>
                <w:rFonts w:ascii="黑体" w:eastAsia="黑体" w:hAnsi="黑体" w:cs="黑体" w:hint="eastAsia"/>
                <w:kern w:val="0"/>
                <w:sz w:val="24"/>
              </w:rPr>
              <w:t>支出责任</w:t>
            </w:r>
          </w:p>
        </w:tc>
        <w:tc>
          <w:tcPr>
            <w:tcW w:w="1524" w:type="dxa"/>
            <w:shd w:val="clear" w:color="auto" w:fill="auto"/>
            <w:vAlign w:val="center"/>
          </w:tcPr>
          <w:p w:rsidR="002C2F4D" w:rsidRPr="00061D81" w:rsidRDefault="00061D81" w:rsidP="00061D81">
            <w:pPr>
              <w:adjustRightInd w:val="0"/>
              <w:snapToGrid w:val="0"/>
              <w:jc w:val="center"/>
              <w:rPr>
                <w:rFonts w:ascii="黑体" w:eastAsia="黑体" w:hAnsi="黑体" w:cs="黑体"/>
                <w:kern w:val="0"/>
                <w:sz w:val="24"/>
              </w:rPr>
            </w:pPr>
            <w:r w:rsidRPr="00061D81">
              <w:rPr>
                <w:rFonts w:ascii="黑体" w:eastAsia="黑体" w:hAnsi="黑体" w:cs="黑体" w:hint="eastAsia"/>
                <w:kern w:val="0"/>
                <w:sz w:val="24"/>
              </w:rPr>
              <w:t>覆盖水平</w:t>
            </w:r>
          </w:p>
        </w:tc>
      </w:tr>
      <w:tr w:rsidR="002C2F4D" w:rsidTr="00061D81">
        <w:trPr>
          <w:cantSplit/>
          <w:trHeight w:val="454"/>
        </w:trPr>
        <w:tc>
          <w:tcPr>
            <w:tcW w:w="9426" w:type="dxa"/>
            <w:gridSpan w:val="5"/>
            <w:shd w:val="clear" w:color="auto" w:fill="auto"/>
            <w:vAlign w:val="center"/>
          </w:tcPr>
          <w:p w:rsidR="002C2F4D" w:rsidRPr="00061D81" w:rsidRDefault="00061D81" w:rsidP="00061D81">
            <w:pPr>
              <w:adjustRightInd w:val="0"/>
              <w:snapToGrid w:val="0"/>
              <w:rPr>
                <w:rFonts w:ascii="楷体_GB2312" w:eastAsia="楷体_GB2312" w:hAnsi="楷体_GB2312" w:cs="楷体_GB2312"/>
                <w:kern w:val="0"/>
                <w:sz w:val="24"/>
              </w:rPr>
            </w:pPr>
            <w:r w:rsidRPr="00061D81">
              <w:rPr>
                <w:rFonts w:ascii="楷体_GB2312" w:eastAsia="楷体_GB2312" w:hAnsi="楷体_GB2312" w:cs="楷体_GB2312" w:hint="eastAsia"/>
                <w:kern w:val="0"/>
                <w:sz w:val="24"/>
              </w:rPr>
              <w:t>劳动就业</w:t>
            </w:r>
          </w:p>
        </w:tc>
      </w:tr>
      <w:tr w:rsidR="00061D81" w:rsidTr="00061D81">
        <w:trPr>
          <w:cantSplit/>
          <w:trHeight w:val="454"/>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就业信息服务</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有就业创业需求的劳动年龄人口</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为劳动者提供就业政策法规咨询、职业供求信息、市场工资指导价位信息和职业培训信息。</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各级财政负担。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目标人群覆盖率</w:t>
            </w:r>
            <w:r w:rsidRPr="00061D81">
              <w:rPr>
                <w:rFonts w:eastAsia="仿宋_GB2312"/>
                <w:kern w:val="0"/>
                <w:sz w:val="24"/>
              </w:rPr>
              <w:t>100%</w:t>
            </w:r>
          </w:p>
        </w:tc>
      </w:tr>
      <w:tr w:rsidR="00061D81" w:rsidTr="00061D81">
        <w:trPr>
          <w:cantSplit/>
          <w:trHeight w:val="454"/>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职业介绍、职业指导和创业开业指导</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有就业创业意愿的社会各界劳动者及在校大学生</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为劳动者提供职业介绍、职业指导和创业开业指导服务，打造创业培训、创业实践、咨询指导、跟踪帮扶等一体化创业培训体系，推进网上办理就业创业服务。</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各级财政负担。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目标人群覆盖率</w:t>
            </w:r>
            <w:r w:rsidRPr="00061D81">
              <w:rPr>
                <w:rFonts w:eastAsia="仿宋_GB2312"/>
                <w:kern w:val="0"/>
                <w:sz w:val="24"/>
              </w:rPr>
              <w:t xml:space="preserve">100% </w:t>
            </w:r>
          </w:p>
        </w:tc>
      </w:tr>
      <w:tr w:rsidR="00061D81" w:rsidTr="00061D81">
        <w:trPr>
          <w:cantSplit/>
          <w:trHeight w:val="454"/>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就业登记与失业登记</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有就业需求的劳动年龄人口</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为劳动者提供办理就业登记、失业登记、退工备案、就业援助对象认定及退出、享受相关就业扶持政策等服务。</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各级财政负担。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目标人群覆盖率</w:t>
            </w:r>
            <w:r w:rsidRPr="00061D81">
              <w:rPr>
                <w:rFonts w:eastAsia="仿宋_GB2312"/>
                <w:kern w:val="0"/>
                <w:sz w:val="24"/>
              </w:rPr>
              <w:t>100%</w:t>
            </w:r>
          </w:p>
        </w:tc>
      </w:tr>
      <w:tr w:rsidR="00061D81" w:rsidTr="00061D81">
        <w:trPr>
          <w:cantSplit/>
          <w:trHeight w:val="454"/>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流动人员人事档案管理服务</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有就业需求的劳动年龄人口</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为劳动者提供档案接收和转递，档案材料收集、鉴别和归档，档案查（借）阅服务，依据档案记载出具相关证明，政审（考察），存档人员党员组织关系接转等服务。</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各级财政负担。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目标人群覆盖率</w:t>
            </w:r>
            <w:r w:rsidRPr="00061D81">
              <w:rPr>
                <w:rFonts w:eastAsia="仿宋_GB2312"/>
                <w:kern w:val="0"/>
                <w:sz w:val="24"/>
              </w:rPr>
              <w:t>100%</w:t>
            </w:r>
          </w:p>
        </w:tc>
      </w:tr>
      <w:tr w:rsidR="00061D81" w:rsidTr="00061D81">
        <w:trPr>
          <w:cantSplit/>
          <w:trHeight w:val="454"/>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就业见习服务</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符合见习条件的高校毕业生、失业人员以及中西部结对地区农村劳动力等人员</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组织有意愿的人员参加就业见习。对开展见习活动的就业见习基地，给予生活费补贴、带教费补贴、人身意外伤害保险费补贴、见习留用奖励。</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各级财政负担。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目标人群覆盖率</w:t>
            </w:r>
            <w:r w:rsidRPr="00061D81">
              <w:rPr>
                <w:rFonts w:eastAsia="仿宋_GB2312"/>
                <w:kern w:val="0"/>
                <w:sz w:val="24"/>
              </w:rPr>
              <w:t>100%</w:t>
            </w:r>
          </w:p>
        </w:tc>
      </w:tr>
      <w:tr w:rsidR="00061D81" w:rsidTr="00061D81">
        <w:trPr>
          <w:cantSplit/>
          <w:trHeight w:val="454"/>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就业援助</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符合条件的就业困难人员</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提供政策咨询、职业指导、职业介绍、</w:t>
            </w:r>
            <w:r w:rsidRPr="00061D81">
              <w:rPr>
                <w:rFonts w:eastAsia="仿宋_GB2312" w:hint="eastAsia"/>
                <w:kern w:val="0"/>
                <w:sz w:val="24"/>
              </w:rPr>
              <w:t>职业技能培训等服务。企业吸纳就业困难人员给予社保补贴、岗位补贴；灵活就业的给予灵活就业社保补贴；对市场渠道难以实现就业的，通过公益性岗位进行托底安置。</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各级财政负担。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目标人群覆盖率</w:t>
            </w:r>
            <w:r w:rsidRPr="00061D81">
              <w:rPr>
                <w:rFonts w:eastAsia="仿宋_GB2312"/>
                <w:kern w:val="0"/>
                <w:sz w:val="24"/>
              </w:rPr>
              <w:t>100%</w:t>
            </w:r>
          </w:p>
        </w:tc>
      </w:tr>
      <w:tr w:rsidR="00061D81" w:rsidTr="00061D81">
        <w:trPr>
          <w:cantSplit/>
          <w:trHeight w:val="454"/>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职业技能培训、鉴定和生活费补贴</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参加培训并符合条件的劳动者</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对参加培训并符合条件的劳动者，按规定给予职业培训补贴、职业技能鉴定补贴和生活费补贴。</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职业技能提升专项资金负担。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有需求且符合条件的劳动者</w:t>
            </w:r>
            <w:r w:rsidRPr="00061D81">
              <w:rPr>
                <w:rFonts w:eastAsia="仿宋_GB2312"/>
                <w:kern w:val="0"/>
                <w:sz w:val="24"/>
              </w:rPr>
              <w:t>100%</w:t>
            </w:r>
            <w:r w:rsidRPr="00061D81">
              <w:rPr>
                <w:rFonts w:eastAsia="仿宋_GB2312" w:hint="eastAsia"/>
                <w:kern w:val="0"/>
                <w:sz w:val="24"/>
              </w:rPr>
              <w:t>覆盖</w:t>
            </w:r>
          </w:p>
        </w:tc>
      </w:tr>
      <w:tr w:rsidR="00061D81" w:rsidTr="00061D81">
        <w:trPr>
          <w:cantSplit/>
          <w:trHeight w:val="454"/>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w:t>
            </w:r>
            <w:r w:rsidRPr="00061D81">
              <w:rPr>
                <w:rFonts w:eastAsia="仿宋_GB2312"/>
                <w:kern w:val="0"/>
                <w:sz w:val="24"/>
              </w:rPr>
              <w:t>12333</w:t>
            </w:r>
            <w:r w:rsidRPr="00061D81">
              <w:rPr>
                <w:rFonts w:eastAsia="仿宋_GB2312" w:hint="eastAsia"/>
                <w:kern w:val="0"/>
                <w:sz w:val="24"/>
              </w:rPr>
              <w:t>”人力资源和社会保障电话服务</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所有单位和个人</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spacing w:val="-4"/>
                <w:kern w:val="0"/>
                <w:sz w:val="24"/>
              </w:rPr>
              <w:t>为社会公众提供人力资源和社会保障领域的政策咨询、信息查询、信息公开、业务办理和投诉举报等服务。人工服务为每周“</w:t>
            </w:r>
            <w:r w:rsidRPr="00061D81">
              <w:rPr>
                <w:rFonts w:eastAsia="仿宋_GB2312"/>
                <w:spacing w:val="-4"/>
                <w:kern w:val="0"/>
                <w:sz w:val="24"/>
              </w:rPr>
              <w:t>5</w:t>
            </w:r>
            <w:r w:rsidRPr="00061D81">
              <w:rPr>
                <w:rFonts w:ascii="仿宋_GB2312" w:eastAsia="仿宋_GB2312" w:hAnsi="仿宋_GB2312" w:cs="仿宋_GB2312" w:hint="eastAsia"/>
                <w:spacing w:val="-4"/>
                <w:kern w:val="0"/>
                <w:sz w:val="24"/>
              </w:rPr>
              <w:t>×</w:t>
            </w:r>
            <w:r w:rsidRPr="00061D81">
              <w:rPr>
                <w:rFonts w:eastAsia="仿宋_GB2312"/>
                <w:spacing w:val="-4"/>
                <w:kern w:val="0"/>
                <w:sz w:val="24"/>
              </w:rPr>
              <w:t>8</w:t>
            </w:r>
            <w:r w:rsidRPr="00061D81">
              <w:rPr>
                <w:rFonts w:eastAsia="仿宋_GB2312" w:hint="eastAsia"/>
                <w:spacing w:val="-4"/>
                <w:kern w:val="0"/>
                <w:sz w:val="24"/>
              </w:rPr>
              <w:t>小时</w:t>
            </w:r>
            <w:r w:rsidRPr="00061D81">
              <w:rPr>
                <w:rFonts w:ascii="仿宋_GB2312" w:eastAsia="仿宋_GB2312" w:hAnsi="仿宋_GB2312" w:cs="仿宋_GB2312" w:hint="eastAsia"/>
                <w:spacing w:val="-4"/>
                <w:kern w:val="0"/>
                <w:sz w:val="24"/>
              </w:rPr>
              <w:t>”</w:t>
            </w:r>
            <w:r w:rsidRPr="00061D81">
              <w:rPr>
                <w:rFonts w:eastAsia="仿宋_GB2312" w:hint="eastAsia"/>
                <w:spacing w:val="-4"/>
                <w:kern w:val="0"/>
                <w:sz w:val="24"/>
              </w:rPr>
              <w:t>，自助语音服务为每周“</w:t>
            </w:r>
            <w:r w:rsidRPr="00061D81">
              <w:rPr>
                <w:rFonts w:eastAsia="仿宋_GB2312"/>
                <w:spacing w:val="-4"/>
                <w:kern w:val="0"/>
                <w:sz w:val="24"/>
              </w:rPr>
              <w:t>7</w:t>
            </w:r>
            <w:r w:rsidRPr="00061D81">
              <w:rPr>
                <w:rFonts w:ascii="仿宋_GB2312" w:eastAsia="仿宋_GB2312" w:hAnsi="仿宋_GB2312" w:cs="仿宋_GB2312" w:hint="eastAsia"/>
                <w:spacing w:val="-4"/>
                <w:kern w:val="0"/>
                <w:sz w:val="24"/>
              </w:rPr>
              <w:t>×</w:t>
            </w:r>
            <w:r w:rsidRPr="00061D81">
              <w:rPr>
                <w:rFonts w:eastAsia="仿宋_GB2312"/>
                <w:spacing w:val="-4"/>
                <w:kern w:val="0"/>
                <w:sz w:val="24"/>
              </w:rPr>
              <w:t>24</w:t>
            </w:r>
            <w:r w:rsidRPr="00061D81">
              <w:rPr>
                <w:rFonts w:eastAsia="仿宋_GB2312" w:hint="eastAsia"/>
                <w:spacing w:val="-4"/>
                <w:kern w:val="0"/>
                <w:sz w:val="24"/>
              </w:rPr>
              <w:t>小时”，综合接通率达到</w:t>
            </w:r>
            <w:r w:rsidRPr="00061D81">
              <w:rPr>
                <w:rFonts w:eastAsia="仿宋_GB2312"/>
                <w:spacing w:val="-4"/>
                <w:kern w:val="0"/>
                <w:sz w:val="24"/>
              </w:rPr>
              <w:t>80%</w:t>
            </w:r>
            <w:r w:rsidRPr="00061D81">
              <w:rPr>
                <w:rFonts w:eastAsia="仿宋_GB2312" w:hint="eastAsia"/>
                <w:spacing w:val="-4"/>
                <w:kern w:val="0"/>
                <w:sz w:val="24"/>
              </w:rPr>
              <w:t>以上。</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市财政负担。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目标人群覆盖率</w:t>
            </w:r>
            <w:r w:rsidRPr="00061D81">
              <w:rPr>
                <w:rFonts w:eastAsia="仿宋_GB2312"/>
                <w:kern w:val="0"/>
                <w:sz w:val="24"/>
              </w:rPr>
              <w:t>100%</w:t>
            </w:r>
          </w:p>
        </w:tc>
      </w:tr>
      <w:tr w:rsidR="00061D81" w:rsidTr="00061D81">
        <w:trPr>
          <w:cantSplit/>
          <w:trHeight w:val="2432"/>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劳动关系协调</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本市行政区域内的用人单位及所有劳动者</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为劳动者提供劳动关系法律法规政策咨询服务，免费提供劳动合同、集体合同示范文本，定期发布全市企业工资指导线、部分行业工资指导线和企业薪酬调查信息。</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各级财政负担。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有需求且符合条件的单位和劳动者</w:t>
            </w:r>
            <w:r w:rsidRPr="00061D81">
              <w:rPr>
                <w:rFonts w:eastAsia="仿宋_GB2312"/>
                <w:kern w:val="0"/>
                <w:sz w:val="24"/>
              </w:rPr>
              <w:t>100%</w:t>
            </w:r>
            <w:r w:rsidRPr="00061D81">
              <w:rPr>
                <w:rFonts w:eastAsia="仿宋_GB2312" w:hint="eastAsia"/>
                <w:kern w:val="0"/>
                <w:sz w:val="24"/>
              </w:rPr>
              <w:t>覆盖</w:t>
            </w:r>
          </w:p>
        </w:tc>
      </w:tr>
      <w:tr w:rsidR="00061D81" w:rsidTr="00061D81">
        <w:trPr>
          <w:cantSplit/>
          <w:trHeight w:val="1498"/>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劳动用工保障</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本市行政区域内的用人单位及所有劳动者</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为劳动者提供劳动人事争议调解、仲裁和劳动保障监察执法维权等服务。</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各级财政负担。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有需求且符合条件的单位和劳动者</w:t>
            </w:r>
            <w:r w:rsidRPr="00061D81">
              <w:rPr>
                <w:rFonts w:eastAsia="仿宋_GB2312"/>
                <w:kern w:val="0"/>
                <w:sz w:val="24"/>
              </w:rPr>
              <w:t>100%</w:t>
            </w:r>
            <w:r w:rsidRPr="00061D81">
              <w:rPr>
                <w:rFonts w:eastAsia="仿宋_GB2312" w:hint="eastAsia"/>
                <w:kern w:val="0"/>
                <w:sz w:val="24"/>
              </w:rPr>
              <w:t>覆盖</w:t>
            </w:r>
          </w:p>
        </w:tc>
      </w:tr>
      <w:tr w:rsidR="002C2F4D" w:rsidTr="00061D81">
        <w:trPr>
          <w:cantSplit/>
          <w:trHeight w:val="494"/>
        </w:trPr>
        <w:tc>
          <w:tcPr>
            <w:tcW w:w="9426" w:type="dxa"/>
            <w:gridSpan w:val="5"/>
            <w:shd w:val="clear" w:color="auto" w:fill="auto"/>
            <w:vAlign w:val="center"/>
          </w:tcPr>
          <w:p w:rsidR="002C2F4D" w:rsidRPr="00061D81" w:rsidRDefault="00061D81" w:rsidP="00061D81">
            <w:pPr>
              <w:adjustRightInd w:val="0"/>
              <w:snapToGrid w:val="0"/>
              <w:rPr>
                <w:rFonts w:ascii="楷体_GB2312" w:eastAsia="楷体_GB2312" w:hAnsi="楷体_GB2312" w:cs="楷体_GB2312"/>
                <w:kern w:val="0"/>
                <w:sz w:val="24"/>
              </w:rPr>
            </w:pPr>
            <w:r w:rsidRPr="00061D81">
              <w:rPr>
                <w:rFonts w:ascii="楷体_GB2312" w:eastAsia="楷体_GB2312" w:hAnsi="楷体_GB2312" w:cs="楷体_GB2312" w:hint="eastAsia"/>
                <w:kern w:val="0"/>
                <w:sz w:val="24"/>
              </w:rPr>
              <w:t>基本养老保险</w:t>
            </w:r>
          </w:p>
        </w:tc>
      </w:tr>
      <w:tr w:rsidR="00061D81" w:rsidTr="00061D81">
        <w:trPr>
          <w:cantSplit/>
          <w:trHeight w:val="2322"/>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职工基本养老保险</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本市职工和灵活就业参保人员</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根据个人累计缴费年限、缴费工资基数、职工平均工资、个人账户金额、城镇人口平均预期寿命等因素综合确定养老金水平。</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在职人员缴费由用人单位和职工本人共同承担；退休人员养老金由养老保险基金支付。</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符合条件的法定人群应保尽保</w:t>
            </w:r>
          </w:p>
        </w:tc>
      </w:tr>
      <w:tr w:rsidR="00061D81" w:rsidTr="00061D81">
        <w:trPr>
          <w:cantSplit/>
          <w:trHeight w:val="5158"/>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城乡居民基本养老保险</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年满</w:t>
            </w:r>
            <w:r w:rsidRPr="00061D81">
              <w:rPr>
                <w:rFonts w:eastAsia="仿宋_GB2312"/>
                <w:kern w:val="0"/>
                <w:sz w:val="24"/>
              </w:rPr>
              <w:t>16</w:t>
            </w:r>
            <w:r w:rsidRPr="00061D81">
              <w:rPr>
                <w:rFonts w:eastAsia="仿宋_GB2312" w:hint="eastAsia"/>
                <w:kern w:val="0"/>
                <w:sz w:val="24"/>
              </w:rPr>
              <w:t>岁（不含在校学生）、不属于职工基本养老保险制度覆盖范围的本市户籍城乡居民</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spacing w:val="-4"/>
                <w:kern w:val="0"/>
                <w:sz w:val="24"/>
              </w:rPr>
              <w:t>基础养老金标准为：</w:t>
            </w:r>
            <w:r w:rsidRPr="00061D81">
              <w:rPr>
                <w:rFonts w:eastAsia="仿宋_GB2312"/>
                <w:spacing w:val="-4"/>
                <w:kern w:val="0"/>
                <w:sz w:val="24"/>
              </w:rPr>
              <w:t>60</w:t>
            </w:r>
            <w:r w:rsidRPr="00061D81">
              <w:rPr>
                <w:rFonts w:eastAsia="仿宋_GB2312" w:hint="eastAsia"/>
                <w:spacing w:val="-4"/>
                <w:kern w:val="0"/>
                <w:sz w:val="24"/>
              </w:rPr>
              <w:t>至</w:t>
            </w:r>
            <w:r w:rsidRPr="00061D81">
              <w:rPr>
                <w:rFonts w:eastAsia="仿宋_GB2312"/>
                <w:spacing w:val="-4"/>
                <w:kern w:val="0"/>
                <w:sz w:val="24"/>
              </w:rPr>
              <w:t>64</w:t>
            </w:r>
            <w:r w:rsidRPr="00061D81">
              <w:rPr>
                <w:rFonts w:eastAsia="仿宋_GB2312" w:hint="eastAsia"/>
                <w:spacing w:val="-4"/>
                <w:kern w:val="0"/>
                <w:sz w:val="24"/>
              </w:rPr>
              <w:t>岁人群不低于现行的</w:t>
            </w:r>
            <w:r w:rsidRPr="00061D81">
              <w:rPr>
                <w:rFonts w:eastAsia="仿宋_GB2312"/>
                <w:spacing w:val="-4"/>
                <w:kern w:val="0"/>
                <w:sz w:val="24"/>
              </w:rPr>
              <w:t>312</w:t>
            </w:r>
            <w:r w:rsidRPr="00061D81">
              <w:rPr>
                <w:rFonts w:eastAsia="仿宋_GB2312" w:hint="eastAsia"/>
                <w:spacing w:val="-4"/>
                <w:kern w:val="0"/>
                <w:sz w:val="24"/>
              </w:rPr>
              <w:t>元</w:t>
            </w:r>
            <w:r w:rsidRPr="00061D81">
              <w:rPr>
                <w:rFonts w:ascii="仿宋_GB2312" w:eastAsia="仿宋_GB2312" w:hAnsi="仿宋_GB2312" w:cs="仿宋_GB2312" w:hint="eastAsia"/>
                <w:spacing w:val="-4"/>
                <w:kern w:val="0"/>
                <w:sz w:val="24"/>
              </w:rPr>
              <w:t>/</w:t>
            </w:r>
            <w:r w:rsidRPr="00061D81">
              <w:rPr>
                <w:rFonts w:eastAsia="仿宋_GB2312" w:hint="eastAsia"/>
                <w:spacing w:val="-4"/>
                <w:kern w:val="0"/>
                <w:sz w:val="24"/>
              </w:rPr>
              <w:t>月，</w:t>
            </w:r>
            <w:r w:rsidRPr="00061D81">
              <w:rPr>
                <w:rFonts w:eastAsia="仿宋_GB2312"/>
                <w:spacing w:val="-4"/>
                <w:kern w:val="0"/>
                <w:sz w:val="24"/>
              </w:rPr>
              <w:t>65</w:t>
            </w:r>
            <w:r w:rsidRPr="00061D81">
              <w:rPr>
                <w:rFonts w:eastAsia="仿宋_GB2312" w:hint="eastAsia"/>
                <w:spacing w:val="-4"/>
                <w:kern w:val="0"/>
                <w:sz w:val="24"/>
              </w:rPr>
              <w:t>岁及以上人群不低于现行的</w:t>
            </w:r>
            <w:r w:rsidRPr="00061D81">
              <w:rPr>
                <w:rFonts w:eastAsia="仿宋_GB2312"/>
                <w:spacing w:val="-4"/>
                <w:kern w:val="0"/>
                <w:sz w:val="24"/>
              </w:rPr>
              <w:t>319</w:t>
            </w:r>
            <w:r w:rsidRPr="00061D81">
              <w:rPr>
                <w:rFonts w:eastAsia="仿宋_GB2312" w:hint="eastAsia"/>
                <w:spacing w:val="-4"/>
                <w:kern w:val="0"/>
                <w:sz w:val="24"/>
              </w:rPr>
              <w:t>元</w:t>
            </w:r>
            <w:r w:rsidRPr="00061D81">
              <w:rPr>
                <w:rFonts w:ascii="仿宋_GB2312" w:eastAsia="仿宋_GB2312" w:hAnsi="仿宋_GB2312" w:cs="仿宋_GB2312" w:hint="eastAsia"/>
                <w:spacing w:val="-4"/>
                <w:kern w:val="0"/>
                <w:sz w:val="24"/>
              </w:rPr>
              <w:t>/</w:t>
            </w:r>
            <w:r w:rsidRPr="00061D81">
              <w:rPr>
                <w:rFonts w:eastAsia="仿宋_GB2312" w:hint="eastAsia"/>
                <w:spacing w:val="-4"/>
                <w:kern w:val="0"/>
                <w:sz w:val="24"/>
              </w:rPr>
              <w:t>月，今后动态调整。</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由个人缴费、集体补助、政府补贴构成。对符合条件的参保人员全额支付基础养老金，市级财政对参保人缴费给予补贴，并适时提高基础养老金标准。对长期缴费的，适当加发年限基础养老金。个人账户养老金由个人账户养老基金支出。</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符合条件的法定人群应保尽保</w:t>
            </w:r>
          </w:p>
        </w:tc>
      </w:tr>
      <w:tr w:rsidR="002C2F4D" w:rsidTr="00061D81">
        <w:trPr>
          <w:cantSplit/>
          <w:trHeight w:val="454"/>
        </w:trPr>
        <w:tc>
          <w:tcPr>
            <w:tcW w:w="9426" w:type="dxa"/>
            <w:gridSpan w:val="5"/>
            <w:shd w:val="clear" w:color="auto" w:fill="auto"/>
            <w:vAlign w:val="center"/>
          </w:tcPr>
          <w:p w:rsidR="002C2F4D" w:rsidRPr="00061D81" w:rsidRDefault="00061D81" w:rsidP="00061D81">
            <w:pPr>
              <w:adjustRightInd w:val="0"/>
              <w:snapToGrid w:val="0"/>
              <w:rPr>
                <w:rFonts w:ascii="楷体_GB2312" w:eastAsia="楷体_GB2312" w:hAnsi="楷体_GB2312" w:cs="楷体_GB2312"/>
                <w:kern w:val="0"/>
                <w:sz w:val="24"/>
              </w:rPr>
            </w:pPr>
            <w:r w:rsidRPr="00061D81">
              <w:rPr>
                <w:rFonts w:ascii="楷体_GB2312" w:eastAsia="楷体_GB2312" w:hAnsi="楷体_GB2312" w:cs="楷体_GB2312" w:hint="eastAsia"/>
                <w:kern w:val="0"/>
                <w:sz w:val="24"/>
              </w:rPr>
              <w:t>基本医疗保险</w:t>
            </w:r>
          </w:p>
        </w:tc>
      </w:tr>
      <w:tr w:rsidR="00061D81" w:rsidTr="00061D81">
        <w:trPr>
          <w:cantSplit/>
          <w:trHeight w:val="1995"/>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职工基本医疗保险</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参保缴费的职工、无雇工的个体工商户、非全日制从业人员及灵活就业人员</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政策范围内住院费用医保基金支付比例稳定在</w:t>
            </w:r>
            <w:r w:rsidRPr="00061D81">
              <w:rPr>
                <w:rFonts w:eastAsia="仿宋_GB2312"/>
                <w:kern w:val="0"/>
                <w:sz w:val="24"/>
              </w:rPr>
              <w:t>80%</w:t>
            </w:r>
            <w:r w:rsidRPr="00061D81">
              <w:rPr>
                <w:rFonts w:eastAsia="仿宋_GB2312" w:hint="eastAsia"/>
                <w:kern w:val="0"/>
                <w:sz w:val="24"/>
              </w:rPr>
              <w:t>左右。</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用人单位和职工共同缴纳。</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符合条件的法定人群应保尽保</w:t>
            </w:r>
          </w:p>
        </w:tc>
      </w:tr>
      <w:tr w:rsidR="00061D81" w:rsidTr="00061D81">
        <w:trPr>
          <w:cantSplit/>
          <w:trHeight w:val="2592"/>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城乡居民基本医疗保险</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除职工基本医疗保险应参保人员及已纳入其他医疗保障制度安排人员以外的所有参保缴费的城乡居民</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国家政策范围内住院费用医保基金支付比例在</w:t>
            </w:r>
            <w:r w:rsidRPr="00061D81">
              <w:rPr>
                <w:rFonts w:eastAsia="仿宋_GB2312"/>
                <w:kern w:val="0"/>
                <w:sz w:val="24"/>
              </w:rPr>
              <w:t>70%</w:t>
            </w:r>
            <w:r w:rsidRPr="00061D81">
              <w:rPr>
                <w:rFonts w:eastAsia="仿宋_GB2312" w:hint="eastAsia"/>
                <w:kern w:val="0"/>
                <w:sz w:val="24"/>
              </w:rPr>
              <w:t>左右，大病保险的报销比例达到</w:t>
            </w:r>
            <w:r w:rsidRPr="00061D81">
              <w:rPr>
                <w:rFonts w:eastAsia="仿宋_GB2312"/>
                <w:kern w:val="0"/>
                <w:sz w:val="24"/>
              </w:rPr>
              <w:t>60%</w:t>
            </w:r>
            <w:r w:rsidRPr="00061D81">
              <w:rPr>
                <w:rFonts w:eastAsia="仿宋_GB2312" w:hint="eastAsia"/>
                <w:kern w:val="0"/>
                <w:sz w:val="24"/>
              </w:rPr>
              <w:t>以上。</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个人缴费与政府补助相结合，政府补助由各级财政分档按比例分担。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符合条件的法定人群应保尽保</w:t>
            </w:r>
          </w:p>
        </w:tc>
      </w:tr>
      <w:tr w:rsidR="002C2F4D" w:rsidTr="00061D81">
        <w:trPr>
          <w:cantSplit/>
          <w:trHeight w:val="454"/>
        </w:trPr>
        <w:tc>
          <w:tcPr>
            <w:tcW w:w="9426" w:type="dxa"/>
            <w:gridSpan w:val="5"/>
            <w:shd w:val="clear" w:color="auto" w:fill="auto"/>
            <w:vAlign w:val="center"/>
          </w:tcPr>
          <w:p w:rsidR="002C2F4D" w:rsidRPr="00061D81" w:rsidRDefault="00061D81" w:rsidP="00061D81">
            <w:pPr>
              <w:adjustRightInd w:val="0"/>
              <w:snapToGrid w:val="0"/>
              <w:rPr>
                <w:rFonts w:ascii="楷体_GB2312" w:eastAsia="楷体_GB2312" w:hAnsi="楷体_GB2312" w:cs="楷体_GB2312"/>
                <w:kern w:val="0"/>
                <w:sz w:val="24"/>
              </w:rPr>
            </w:pPr>
            <w:r w:rsidRPr="00061D81">
              <w:rPr>
                <w:rFonts w:ascii="楷体_GB2312" w:eastAsia="楷体_GB2312" w:hAnsi="楷体_GB2312" w:cs="楷体_GB2312" w:hint="eastAsia"/>
                <w:kern w:val="0"/>
                <w:sz w:val="24"/>
              </w:rPr>
              <w:t>失业、工伤保险</w:t>
            </w:r>
          </w:p>
        </w:tc>
      </w:tr>
      <w:tr w:rsidR="00061D81" w:rsidTr="00061D81">
        <w:trPr>
          <w:cantSplit/>
          <w:trHeight w:val="1646"/>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失业保险</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用人单位在职职工</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用人单位按照本单位工资总额的</w:t>
            </w:r>
            <w:r w:rsidRPr="00061D81">
              <w:rPr>
                <w:rFonts w:eastAsia="仿宋_GB2312"/>
                <w:kern w:val="0"/>
                <w:sz w:val="24"/>
              </w:rPr>
              <w:t>0.5%</w:t>
            </w:r>
            <w:r w:rsidRPr="00061D81">
              <w:rPr>
                <w:rFonts w:eastAsia="仿宋_GB2312" w:hint="eastAsia"/>
                <w:kern w:val="0"/>
                <w:sz w:val="24"/>
              </w:rPr>
              <w:t>缴纳失业保险费。职工按照本人工资的</w:t>
            </w:r>
            <w:r w:rsidRPr="00061D81">
              <w:rPr>
                <w:rFonts w:eastAsia="仿宋_GB2312"/>
                <w:kern w:val="0"/>
                <w:sz w:val="24"/>
              </w:rPr>
              <w:t>0.5%</w:t>
            </w:r>
            <w:r w:rsidRPr="00061D81">
              <w:rPr>
                <w:rFonts w:eastAsia="仿宋_GB2312" w:hint="eastAsia"/>
                <w:kern w:val="0"/>
                <w:sz w:val="24"/>
              </w:rPr>
              <w:t>缴纳失业保险费。</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用人单位和职工共同缴纳。</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符合条件的法定人群应保尽保</w:t>
            </w:r>
          </w:p>
        </w:tc>
      </w:tr>
      <w:tr w:rsidR="00061D81" w:rsidTr="00061D81">
        <w:trPr>
          <w:cantSplit/>
          <w:trHeight w:val="1373"/>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工伤保险</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用人单位在职职工</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健全完善预防、补偿、康复相结合的工伤保险制度体系，持续扩大工伤保险覆盖范围。</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用人单位缴纳。</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符合条件的法定人群应保尽保</w:t>
            </w:r>
          </w:p>
        </w:tc>
      </w:tr>
      <w:tr w:rsidR="002C2F4D" w:rsidTr="00061D81">
        <w:trPr>
          <w:cantSplit/>
          <w:trHeight w:val="454"/>
        </w:trPr>
        <w:tc>
          <w:tcPr>
            <w:tcW w:w="9426" w:type="dxa"/>
            <w:gridSpan w:val="5"/>
            <w:shd w:val="clear" w:color="auto" w:fill="auto"/>
            <w:vAlign w:val="center"/>
          </w:tcPr>
          <w:p w:rsidR="002C2F4D" w:rsidRPr="00061D81" w:rsidRDefault="00061D81" w:rsidP="00061D81">
            <w:pPr>
              <w:adjustRightInd w:val="0"/>
              <w:snapToGrid w:val="0"/>
              <w:rPr>
                <w:rFonts w:ascii="楷体_GB2312" w:eastAsia="楷体_GB2312" w:hAnsi="楷体_GB2312" w:cs="楷体_GB2312"/>
                <w:kern w:val="0"/>
                <w:sz w:val="24"/>
              </w:rPr>
            </w:pPr>
            <w:r w:rsidRPr="00061D81">
              <w:rPr>
                <w:rFonts w:ascii="楷体_GB2312" w:eastAsia="楷体_GB2312" w:hAnsi="楷体_GB2312" w:cs="楷体_GB2312" w:hint="eastAsia"/>
                <w:kern w:val="0"/>
                <w:sz w:val="24"/>
              </w:rPr>
              <w:t>社会保障信息化</w:t>
            </w:r>
          </w:p>
        </w:tc>
      </w:tr>
      <w:tr w:rsidR="00061D81" w:rsidTr="00061D81">
        <w:trPr>
          <w:cantSplit/>
          <w:trHeight w:val="2864"/>
        </w:trPr>
        <w:tc>
          <w:tcPr>
            <w:tcW w:w="151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社会保障卡建设</w:t>
            </w:r>
          </w:p>
        </w:tc>
        <w:tc>
          <w:tcPr>
            <w:tcW w:w="1738"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在本市参加社会保险的中国公民、港澳台人员、华侨和外国人</w:t>
            </w:r>
          </w:p>
        </w:tc>
        <w:tc>
          <w:tcPr>
            <w:tcW w:w="275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通过线上和线下申领渠道全面提供保障。线上渠道包括天津人力社保</w:t>
            </w:r>
            <w:r w:rsidRPr="00061D81">
              <w:rPr>
                <w:rFonts w:eastAsia="仿宋_GB2312"/>
                <w:kern w:val="0"/>
                <w:sz w:val="24"/>
              </w:rPr>
              <w:t>APP</w:t>
            </w:r>
            <w:r w:rsidRPr="00061D81">
              <w:rPr>
                <w:rFonts w:eastAsia="仿宋_GB2312" w:hint="eastAsia"/>
                <w:kern w:val="0"/>
                <w:sz w:val="24"/>
              </w:rPr>
              <w:t>和市人社局官方个人网厅，线下渠道包括全市各街道党群服务中心和各家社保卡即时发卡银行网点，部署即时制卡设备，用于社保卡发放。</w:t>
            </w:r>
          </w:p>
        </w:tc>
        <w:tc>
          <w:tcPr>
            <w:tcW w:w="1900"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社会保障卡制卡工本费和邮寄发卡的快递费用均由服务银行承担。</w:t>
            </w:r>
          </w:p>
        </w:tc>
        <w:tc>
          <w:tcPr>
            <w:tcW w:w="1524" w:type="dxa"/>
            <w:shd w:val="clear" w:color="auto" w:fill="auto"/>
            <w:vAlign w:val="center"/>
          </w:tcPr>
          <w:p w:rsidR="002C2F4D" w:rsidRPr="00061D81" w:rsidRDefault="00061D81" w:rsidP="00061D81">
            <w:pPr>
              <w:adjustRightInd w:val="0"/>
              <w:snapToGrid w:val="0"/>
              <w:rPr>
                <w:rFonts w:eastAsia="仿宋_GB2312"/>
                <w:kern w:val="0"/>
                <w:sz w:val="24"/>
              </w:rPr>
            </w:pPr>
            <w:r w:rsidRPr="00061D81">
              <w:rPr>
                <w:rFonts w:eastAsia="仿宋_GB2312" w:hint="eastAsia"/>
                <w:kern w:val="0"/>
                <w:sz w:val="24"/>
              </w:rPr>
              <w:t>目标人群覆盖率</w:t>
            </w:r>
            <w:r w:rsidRPr="00061D81">
              <w:rPr>
                <w:rFonts w:eastAsia="仿宋_GB2312"/>
                <w:kern w:val="0"/>
                <w:sz w:val="24"/>
              </w:rPr>
              <w:t>100%</w:t>
            </w:r>
          </w:p>
        </w:tc>
      </w:tr>
    </w:tbl>
    <w:p w:rsidR="002C2F4D" w:rsidRDefault="00061D81">
      <w:pPr>
        <w:adjustRightInd w:val="0"/>
        <w:jc w:val="center"/>
        <w:outlineLvl w:val="2"/>
        <w:rPr>
          <w:rFonts w:ascii="黑体" w:eastAsia="黑体" w:hAnsi="黑体" w:cs="黑体"/>
          <w:kern w:val="0"/>
          <w:sz w:val="32"/>
          <w:szCs w:val="32"/>
        </w:rPr>
      </w:pPr>
      <w:bookmarkStart w:id="24" w:name="_Toc65837395"/>
      <w:r>
        <w:rPr>
          <w:rFonts w:ascii="黑体" w:eastAsia="黑体" w:hAnsi="黑体" w:cs="黑体" w:hint="eastAsia"/>
          <w:kern w:val="0"/>
          <w:sz w:val="32"/>
          <w:szCs w:val="32"/>
        </w:rPr>
        <w:t>第三节</w:t>
      </w:r>
      <w:r>
        <w:rPr>
          <w:rFonts w:ascii="黑体" w:eastAsia="黑体" w:hAnsi="黑体" w:cs="黑体" w:hint="eastAsia"/>
          <w:kern w:val="0"/>
          <w:sz w:val="32"/>
          <w:szCs w:val="32"/>
        </w:rPr>
        <w:t xml:space="preserve"> </w:t>
      </w:r>
      <w:r>
        <w:rPr>
          <w:rFonts w:ascii="黑体" w:eastAsia="黑体" w:hAnsi="黑体" w:cs="黑体"/>
          <w:kern w:val="0"/>
          <w:sz w:val="32"/>
          <w:szCs w:val="32"/>
        </w:rPr>
        <w:t xml:space="preserve"> </w:t>
      </w:r>
      <w:r>
        <w:rPr>
          <w:rFonts w:ascii="黑体" w:eastAsia="黑体" w:hAnsi="黑体" w:cs="黑体" w:hint="eastAsia"/>
          <w:kern w:val="0"/>
          <w:sz w:val="32"/>
          <w:szCs w:val="32"/>
        </w:rPr>
        <w:t>保障工程</w:t>
      </w:r>
      <w:bookmarkEnd w:id="24"/>
    </w:p>
    <w:p w:rsidR="002C2F4D" w:rsidRDefault="002C2F4D">
      <w:pPr>
        <w:adjustRightInd w:val="0"/>
        <w:jc w:val="center"/>
        <w:outlineLvl w:val="2"/>
        <w:rPr>
          <w:kern w:val="0"/>
          <w:sz w:val="32"/>
          <w:szCs w:val="32"/>
        </w:rPr>
      </w:pPr>
    </w:p>
    <w:p w:rsidR="002C2F4D" w:rsidRDefault="00061D81" w:rsidP="00FA6DB5">
      <w:pPr>
        <w:adjustRightInd w:val="0"/>
        <w:ind w:firstLineChars="200" w:firstLine="622"/>
        <w:rPr>
          <w:rFonts w:ascii="仿宋_GB2312" w:eastAsia="仿宋_GB2312" w:hAnsi="宋体" w:cs="仿宋_GB2312"/>
          <w:sz w:val="32"/>
          <w:szCs w:val="32"/>
        </w:rPr>
      </w:pPr>
      <w:r>
        <w:rPr>
          <w:rFonts w:ascii="楷体_GB2312" w:eastAsia="楷体_GB2312" w:hAnsi="楷体_GB2312" w:cs="楷体_GB2312" w:hint="eastAsia"/>
          <w:bCs/>
          <w:sz w:val="32"/>
          <w:szCs w:val="32"/>
        </w:rPr>
        <w:t>实施就业创业促进计划。</w:t>
      </w:r>
      <w:r>
        <w:rPr>
          <w:rFonts w:ascii="仿宋_GB2312" w:eastAsia="仿宋_GB2312" w:hAnsi="宋体" w:cs="仿宋_GB2312" w:hint="eastAsia"/>
          <w:sz w:val="32"/>
          <w:szCs w:val="32"/>
        </w:rPr>
        <w:t>市、区两级财政对就业补助资金持续投入，提升资金使用效益。强化失业监测机制，实现城镇调查失业率按月发布，完善就业需求调查预测，开展人力资源市场用工需求调查分析。实施创业培训“马兰花”计划，提升创业服务能力，打造创业培训、创业实践、咨询指导、跟踪帮扶等一体化创业培训体系。健全市和区就业服务中心、街道和社区公共服务平台等多层次的公共就业服务体系。开展就业创业公共服务能力提升行动，提供统一规范的政策咨询、职业介绍、职业指导、职业培训、创业服务、就业援助等公共就业服务。搭建智慧就业信息化服务平台，推进网上办理就业创业</w:t>
      </w:r>
      <w:r>
        <w:rPr>
          <w:rFonts w:ascii="仿宋_GB2312" w:eastAsia="仿宋_GB2312" w:hAnsi="宋体" w:cs="仿宋_GB2312" w:hint="eastAsia"/>
          <w:sz w:val="32"/>
          <w:szCs w:val="32"/>
        </w:rPr>
        <w:t>服务，提高公共就业服务标准化、智能化、规范化水平。</w:t>
      </w:r>
    </w:p>
    <w:p w:rsidR="002C2F4D" w:rsidRDefault="00061D81" w:rsidP="00FA6DB5">
      <w:pPr>
        <w:adjustRightInd w:val="0"/>
        <w:ind w:firstLineChars="200" w:firstLine="622"/>
        <w:rPr>
          <w:rFonts w:ascii="仿宋_GB2312" w:eastAsia="仿宋_GB2312" w:hAnsi="黑体"/>
          <w:bCs/>
          <w:sz w:val="32"/>
          <w:szCs w:val="32"/>
        </w:rPr>
      </w:pPr>
      <w:r>
        <w:rPr>
          <w:rFonts w:ascii="楷体_GB2312" w:eastAsia="楷体_GB2312" w:hAnsi="楷体_GB2312" w:cs="楷体_GB2312" w:hint="eastAsia"/>
          <w:bCs/>
          <w:sz w:val="32"/>
          <w:szCs w:val="32"/>
        </w:rPr>
        <w:t>推行终身职业技能培训。</w:t>
      </w:r>
      <w:r>
        <w:rPr>
          <w:rFonts w:ascii="仿宋_GB2312" w:eastAsia="仿宋_GB2312" w:hAnsi="黑体" w:hint="eastAsia"/>
          <w:bCs/>
          <w:sz w:val="32"/>
          <w:szCs w:val="32"/>
        </w:rPr>
        <w:t>面向本市各类劳动者和院校学生，推行技能提升培训、转岗转业培训和技能储备培训等贯穿职业生涯全过程的终身职业技能培训。全面推进“海河工匠”建设，健全面向城乡全体劳动者的职业技能培训补贴政策体系。广泛开展职业技能竞赛，支持技工院校开设预备技师班、“世赛班”。完善以政府奖励为导向、用人单位奖励为主体、社会奖励为补充的技能人才表彰奖励制度。选树“海河工匠”、“天津市技术能手”等，按有关规定予以奖励资助。支持劳动者凭技能提升待遇，建立健全技能人才培养、评价、使用、待遇相统一的激励机制。鼓励社会力量参与建设“互联网</w:t>
      </w:r>
      <w:r>
        <w:rPr>
          <w:rFonts w:ascii="仿宋_GB2312" w:eastAsia="仿宋_GB2312" w:hAnsi="黑体"/>
          <w:bCs/>
          <w:sz w:val="32"/>
          <w:szCs w:val="32"/>
        </w:rPr>
        <w:t>+</w:t>
      </w:r>
      <w:r>
        <w:rPr>
          <w:rFonts w:ascii="仿宋_GB2312" w:eastAsia="仿宋_GB2312" w:hAnsi="黑体"/>
          <w:bCs/>
          <w:sz w:val="32"/>
          <w:szCs w:val="32"/>
        </w:rPr>
        <w:t>培训</w:t>
      </w:r>
      <w:r>
        <w:rPr>
          <w:rFonts w:ascii="仿宋_GB2312" w:eastAsia="仿宋_GB2312" w:hAnsi="黑体" w:hint="eastAsia"/>
          <w:bCs/>
          <w:sz w:val="32"/>
          <w:szCs w:val="32"/>
        </w:rPr>
        <w:t>”</w:t>
      </w:r>
      <w:r>
        <w:rPr>
          <w:rFonts w:ascii="仿宋_GB2312" w:eastAsia="仿宋_GB2312" w:hAnsi="黑体"/>
          <w:bCs/>
          <w:sz w:val="32"/>
          <w:szCs w:val="32"/>
        </w:rPr>
        <w:t>学习平台，</w:t>
      </w:r>
      <w:r>
        <w:rPr>
          <w:rFonts w:ascii="仿宋_GB2312" w:eastAsia="仿宋_GB2312" w:hAnsi="黑体" w:hint="eastAsia"/>
          <w:bCs/>
          <w:sz w:val="32"/>
          <w:szCs w:val="32"/>
        </w:rPr>
        <w:t>实现线上线下相结合的职业培训模式。推动职业技能培训与技能等级认定相互衔接。</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bCs/>
          <w:sz w:val="32"/>
          <w:szCs w:val="32"/>
        </w:rPr>
        <w:t>多渠道维护劳动者合法权益。</w:t>
      </w:r>
      <w:r>
        <w:rPr>
          <w:rFonts w:ascii="仿宋_GB2312" w:eastAsia="仿宋_GB2312" w:hint="eastAsia"/>
          <w:sz w:val="32"/>
          <w:szCs w:val="32"/>
        </w:rPr>
        <w:t>加强多部门协调联动，推动各项工资支付保障制度落实，开展执法专项行动，维护农民工劳动报酬权益。深入落实劳动保障守法信用等级评价管理、拖欠农民工工资“黑名单”管理、重大劳动保障违法行为社会公布，探索新就业形态劳动保障权益维护机制。加强对全市劳动监察执法指导，提升执法能力。畅通“</w:t>
      </w:r>
      <w:r>
        <w:rPr>
          <w:rFonts w:eastAsia="仿宋_GB2312"/>
          <w:sz w:val="32"/>
          <w:szCs w:val="32"/>
        </w:rPr>
        <w:t>12333</w:t>
      </w:r>
      <w:r>
        <w:rPr>
          <w:rFonts w:ascii="仿宋_GB2312" w:eastAsia="仿宋_GB2312" w:hint="eastAsia"/>
          <w:sz w:val="32"/>
          <w:szCs w:val="32"/>
        </w:rPr>
        <w:t>”人力资源和社会保障电话咨询、信访举报、网上受理渠道。对重大疑难信访事项进行法律风险评估。建立人社信访工作联席会议</w:t>
      </w:r>
      <w:r>
        <w:rPr>
          <w:rFonts w:ascii="仿宋_GB2312" w:eastAsia="仿宋_GB2312" w:hint="eastAsia"/>
          <w:sz w:val="32"/>
          <w:szCs w:val="32"/>
        </w:rPr>
        <w:t>制度，推动信访问题及时有效解决。</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bCs/>
          <w:sz w:val="32"/>
          <w:szCs w:val="32"/>
        </w:rPr>
        <w:t>建设医疗保障信息平台。</w:t>
      </w:r>
      <w:r>
        <w:rPr>
          <w:rFonts w:ascii="仿宋_GB2312" w:eastAsia="仿宋_GB2312" w:hint="eastAsia"/>
          <w:sz w:val="32"/>
          <w:szCs w:val="32"/>
        </w:rPr>
        <w:t>完善医疗保障信息化平台建设，搭建标准与国家统一、经办服务更快捷、信息资源可共享、网络建设更安全、支持大数据分析决策的信息化平台，实现全国医疗保障信息互联互通，加强数据有序共享。规范数据管理和应用权限，依法保护参保人员基本信息和数据安全。加强大数据开放，突出应用导向，强化服务支撑功能，推进医疗保障公共服务均等可及。</w:t>
      </w:r>
    </w:p>
    <w:p w:rsidR="002C2F4D" w:rsidRDefault="00061D81" w:rsidP="00FA6DB5">
      <w:pPr>
        <w:overflowPunct w:val="0"/>
        <w:adjustRightInd w:val="0"/>
        <w:ind w:firstLineChars="200" w:firstLine="622"/>
        <w:rPr>
          <w:rFonts w:ascii="仿宋_GB2312" w:eastAsia="仿宋_GB2312"/>
          <w:sz w:val="32"/>
          <w:szCs w:val="32"/>
        </w:rPr>
      </w:pPr>
      <w:r>
        <w:rPr>
          <w:rFonts w:ascii="楷体_GB2312" w:eastAsia="楷体_GB2312" w:hAnsi="楷体_GB2312" w:cs="楷体_GB2312" w:hint="eastAsia"/>
          <w:bCs/>
          <w:sz w:val="32"/>
          <w:szCs w:val="32"/>
        </w:rPr>
        <w:t>建设国家医疗保障基金监管创新中心。</w:t>
      </w:r>
      <w:r>
        <w:rPr>
          <w:rFonts w:ascii="仿宋_GB2312" w:eastAsia="仿宋_GB2312" w:hint="eastAsia"/>
          <w:sz w:val="32"/>
          <w:szCs w:val="32"/>
        </w:rPr>
        <w:t>通过国家医保局与天津市共建模式高标准建设国家医疗保障基金监管创新中心，承担部分国家医疗保障基金监管职能。按</w:t>
      </w:r>
      <w:r>
        <w:rPr>
          <w:rFonts w:ascii="仿宋_GB2312" w:eastAsia="仿宋_GB2312" w:hint="eastAsia"/>
          <w:sz w:val="32"/>
          <w:szCs w:val="32"/>
        </w:rPr>
        <w:t>照国家医保局部署，逐步有序开展医疗保障基金监管领域改革创新探索，在基金监管政策法规建设、监管模式创新、购买第三方服务、教育培训、智能监控及情景展示等方面，加快形成可复制、可推广的方法、路径和模式，为全国医疗保障监管体系提供坚实支撑与保障。</w:t>
      </w:r>
    </w:p>
    <w:p w:rsidR="002C2F4D" w:rsidRDefault="00061D81" w:rsidP="00FA6DB5">
      <w:pPr>
        <w:overflowPunct w:val="0"/>
        <w:adjustRightInd w:val="0"/>
        <w:ind w:firstLineChars="200" w:firstLine="622"/>
        <w:rPr>
          <w:rFonts w:ascii="仿宋_GB2312" w:eastAsia="仿宋_GB2312"/>
          <w:sz w:val="32"/>
          <w:szCs w:val="32"/>
        </w:rPr>
      </w:pPr>
      <w:r>
        <w:rPr>
          <w:rFonts w:ascii="楷体_GB2312" w:eastAsia="楷体_GB2312" w:hAnsi="楷体_GB2312" w:cs="楷体_GB2312" w:hint="eastAsia"/>
          <w:bCs/>
          <w:sz w:val="32"/>
          <w:szCs w:val="32"/>
        </w:rPr>
        <w:t>建设国家医疗保障服务热线中心。</w:t>
      </w:r>
      <w:r>
        <w:rPr>
          <w:rFonts w:ascii="仿宋_GB2312" w:eastAsia="仿宋_GB2312" w:hint="eastAsia"/>
          <w:sz w:val="32"/>
          <w:szCs w:val="32"/>
        </w:rPr>
        <w:t>通过国家医保局与天津市共建模式高标准建设国家医疗保障服务热线中心（国家医疗保障经办能力建设中心），承担部分国家医疗保障公共服务职能。按照国家医保局部署，开展</w:t>
      </w:r>
      <w:r>
        <w:rPr>
          <w:rFonts w:ascii="仿宋_GB2312" w:eastAsia="仿宋_GB2312"/>
          <w:sz w:val="32"/>
          <w:szCs w:val="32"/>
        </w:rPr>
        <w:t>全国</w:t>
      </w:r>
      <w:r>
        <w:rPr>
          <w:rFonts w:ascii="仿宋_GB2312" w:eastAsia="仿宋_GB2312" w:hint="eastAsia"/>
          <w:sz w:val="32"/>
          <w:szCs w:val="32"/>
        </w:rPr>
        <w:t>医保服务热线建设研究、</w:t>
      </w:r>
      <w:r>
        <w:rPr>
          <w:rFonts w:ascii="仿宋_GB2312" w:eastAsia="仿宋_GB2312"/>
          <w:sz w:val="32"/>
          <w:szCs w:val="32"/>
        </w:rPr>
        <w:t>指导各地做好与</w:t>
      </w:r>
      <w:r>
        <w:rPr>
          <w:rFonts w:eastAsia="仿宋_GB2312"/>
          <w:sz w:val="32"/>
          <w:szCs w:val="32"/>
        </w:rPr>
        <w:t>12345</w:t>
      </w:r>
      <w:r>
        <w:rPr>
          <w:rFonts w:ascii="仿宋_GB2312" w:eastAsia="仿宋_GB2312"/>
          <w:sz w:val="32"/>
          <w:szCs w:val="32"/>
        </w:rPr>
        <w:t>政务服务便民热线对接、开展医保领域职</w:t>
      </w:r>
      <w:r>
        <w:rPr>
          <w:rFonts w:ascii="仿宋_GB2312" w:eastAsia="仿宋_GB2312"/>
          <w:sz w:val="32"/>
          <w:szCs w:val="32"/>
        </w:rPr>
        <w:t>能服务研究、开展医保政务服务满意度测评并发布、开展全国医保经办人员培训、</w:t>
      </w:r>
      <w:r>
        <w:rPr>
          <w:rFonts w:ascii="仿宋_GB2312" w:eastAsia="仿宋_GB2312" w:hint="eastAsia"/>
          <w:sz w:val="32"/>
          <w:szCs w:val="32"/>
        </w:rPr>
        <w:t>协助开展全国医疗保障经办窗口制度建设</w:t>
      </w:r>
      <w:r>
        <w:rPr>
          <w:rFonts w:ascii="仿宋_GB2312" w:eastAsia="仿宋_GB2312"/>
          <w:sz w:val="32"/>
          <w:szCs w:val="32"/>
        </w:rPr>
        <w:t>与</w:t>
      </w:r>
      <w:r>
        <w:rPr>
          <w:rFonts w:ascii="仿宋_GB2312" w:eastAsia="仿宋_GB2312" w:hint="eastAsia"/>
          <w:sz w:val="32"/>
          <w:szCs w:val="32"/>
        </w:rPr>
        <w:t>行风建设等。</w:t>
      </w:r>
    </w:p>
    <w:p w:rsidR="002C2F4D" w:rsidRDefault="00061D81" w:rsidP="00FA6DB5">
      <w:pPr>
        <w:overflowPunct w:val="0"/>
        <w:adjustRightInd w:val="0"/>
        <w:ind w:firstLineChars="200" w:firstLine="622"/>
        <w:rPr>
          <w:rFonts w:ascii="仿宋_GB2312" w:eastAsia="仿宋_GB2312"/>
          <w:sz w:val="32"/>
          <w:szCs w:val="32"/>
        </w:rPr>
      </w:pPr>
      <w:r>
        <w:rPr>
          <w:rFonts w:ascii="楷体_GB2312" w:eastAsia="楷体_GB2312" w:hAnsi="楷体_GB2312" w:cs="楷体_GB2312" w:hint="eastAsia"/>
          <w:bCs/>
          <w:sz w:val="32"/>
          <w:szCs w:val="32"/>
        </w:rPr>
        <w:t>建设国家组织医用耗材联合采购平台。</w:t>
      </w:r>
      <w:r>
        <w:rPr>
          <w:rFonts w:ascii="仿宋_GB2312" w:eastAsia="仿宋_GB2312" w:hint="eastAsia"/>
          <w:sz w:val="32"/>
          <w:szCs w:val="32"/>
        </w:rPr>
        <w:t>通过国家医保局与天津市共建模式高标准建设国家组织医用耗材联合采购平台，承担部分国家医疗保障医药产品集中带量采购和使用的组织职能。按照国家医保局部署，开展全国性或区域性医用耗材的集中带量采购工作，健全完善价格采集和监测机制、信息共享机制、招标程序规范，加强信息化建设和人才培养等工作，打造国家组织医用耗材联合采购平台、天津市医药采购应用平台，共同构成优势互</w:t>
      </w:r>
      <w:r>
        <w:rPr>
          <w:rFonts w:ascii="仿宋_GB2312" w:eastAsia="仿宋_GB2312" w:hint="eastAsia"/>
          <w:sz w:val="32"/>
          <w:szCs w:val="32"/>
        </w:rPr>
        <w:t>补的多层招采平台，形成天津主场、天津价格，服务全国，吸引医药研究、生产、流通等行业更多优质资源、要素汇聚天津。</w:t>
      </w:r>
    </w:p>
    <w:p w:rsidR="002C2F4D" w:rsidRDefault="00061D81" w:rsidP="00FA6DB5">
      <w:pPr>
        <w:overflowPunct w:val="0"/>
        <w:adjustRightInd w:val="0"/>
        <w:ind w:firstLineChars="200" w:firstLine="622"/>
        <w:rPr>
          <w:rFonts w:ascii="仿宋_GB2312" w:eastAsia="仿宋_GB2312"/>
          <w:sz w:val="32"/>
          <w:szCs w:val="32"/>
        </w:rPr>
      </w:pPr>
      <w:r>
        <w:rPr>
          <w:rFonts w:ascii="楷体_GB2312" w:eastAsia="楷体_GB2312" w:hAnsi="楷体_GB2312" w:cs="楷体_GB2312" w:hint="eastAsia"/>
          <w:bCs/>
          <w:sz w:val="32"/>
          <w:szCs w:val="32"/>
        </w:rPr>
        <w:t>实施全民社会保障信息化工程。</w:t>
      </w:r>
      <w:r>
        <w:rPr>
          <w:rFonts w:ascii="仿宋_GB2312" w:eastAsia="仿宋_GB2312" w:hint="eastAsia"/>
          <w:sz w:val="32"/>
          <w:szCs w:val="32"/>
        </w:rPr>
        <w:t>加快推进“互联网</w:t>
      </w:r>
      <w:r>
        <w:rPr>
          <w:rFonts w:ascii="仿宋_GB2312" w:eastAsia="仿宋_GB2312" w:hint="eastAsia"/>
          <w:sz w:val="32"/>
          <w:szCs w:val="32"/>
        </w:rPr>
        <w:t>+</w:t>
      </w:r>
      <w:r>
        <w:rPr>
          <w:rFonts w:ascii="仿宋_GB2312" w:eastAsia="仿宋_GB2312" w:hint="eastAsia"/>
          <w:sz w:val="32"/>
          <w:szCs w:val="32"/>
        </w:rPr>
        <w:t>人社”行动。推动决策支持系统和数据分析展示平台的应用</w:t>
      </w:r>
      <w:r>
        <w:rPr>
          <w:rFonts w:eastAsia="仿宋_GB2312" w:hint="eastAsia"/>
          <w:snapToGrid w:val="0"/>
          <w:kern w:val="0"/>
          <w:sz w:val="32"/>
          <w:szCs w:val="32"/>
        </w:rPr>
        <w:t>，</w:t>
      </w:r>
      <w:r>
        <w:rPr>
          <w:rFonts w:ascii="仿宋_GB2312" w:eastAsia="仿宋_GB2312" w:hint="eastAsia"/>
          <w:sz w:val="32"/>
          <w:szCs w:val="32"/>
        </w:rPr>
        <w:t>积极探索基于“互联网</w:t>
      </w:r>
      <w:r>
        <w:rPr>
          <w:rFonts w:ascii="仿宋_GB2312" w:eastAsia="仿宋_GB2312" w:hint="eastAsia"/>
          <w:sz w:val="32"/>
          <w:szCs w:val="32"/>
        </w:rPr>
        <w:t>+</w:t>
      </w:r>
      <w:r>
        <w:rPr>
          <w:rFonts w:ascii="仿宋_GB2312" w:eastAsia="仿宋_GB2312" w:hint="eastAsia"/>
          <w:sz w:val="32"/>
          <w:szCs w:val="32"/>
        </w:rPr>
        <w:t>人社”背景下大数据分析和基础业务数据需求，支持税征职能划转、全民参保、职业年金等重点工作，做好人事人才、海河工匠、人才“绿卡”等重点需求的开发。全力打造网上营业厅、应用程序（</w:t>
      </w:r>
      <w:r>
        <w:rPr>
          <w:rFonts w:eastAsia="仿宋_GB2312"/>
          <w:sz w:val="32"/>
          <w:szCs w:val="32"/>
        </w:rPr>
        <w:t>APP</w:t>
      </w:r>
      <w:r>
        <w:rPr>
          <w:rFonts w:eastAsia="仿宋_GB2312" w:hint="eastAsia"/>
          <w:sz w:val="32"/>
          <w:szCs w:val="32"/>
        </w:rPr>
        <w:t>）、</w:t>
      </w:r>
      <w:r>
        <w:rPr>
          <w:rFonts w:ascii="仿宋_GB2312" w:eastAsia="仿宋_GB2312" w:hint="eastAsia"/>
          <w:sz w:val="32"/>
          <w:szCs w:val="32"/>
        </w:rPr>
        <w:t>短信、自助一体机等服务渠道。</w:t>
      </w:r>
      <w:r>
        <w:rPr>
          <w:rFonts w:eastAsia="仿宋_GB2312" w:hint="eastAsia"/>
          <w:snapToGrid w:val="0"/>
          <w:kern w:val="0"/>
          <w:sz w:val="32"/>
          <w:szCs w:val="32"/>
        </w:rPr>
        <w:t>逐步完善以大数据平台为支撑的经办服务运行管理系统，汇集各项人社业务</w:t>
      </w:r>
      <w:r>
        <w:rPr>
          <w:rFonts w:eastAsia="仿宋_GB2312" w:hint="eastAsia"/>
          <w:snapToGrid w:val="0"/>
          <w:kern w:val="0"/>
          <w:sz w:val="32"/>
          <w:szCs w:val="32"/>
        </w:rPr>
        <w:t>大数据分析所需的数据，实现全方位数字化管理。结合</w:t>
      </w:r>
      <w:r>
        <w:rPr>
          <w:rFonts w:ascii="仿宋_GB2312" w:eastAsia="仿宋_GB2312" w:hint="eastAsia"/>
          <w:sz w:val="32"/>
          <w:szCs w:val="32"/>
        </w:rPr>
        <w:t>“</w:t>
      </w:r>
      <w:r>
        <w:rPr>
          <w:rFonts w:eastAsia="仿宋_GB2312" w:hint="eastAsia"/>
          <w:snapToGrid w:val="0"/>
          <w:kern w:val="0"/>
          <w:sz w:val="32"/>
          <w:szCs w:val="32"/>
        </w:rPr>
        <w:t>互联网</w:t>
      </w:r>
      <w:r>
        <w:rPr>
          <w:rFonts w:ascii="仿宋_GB2312" w:eastAsia="仿宋_GB2312" w:hAnsi="仿宋_GB2312" w:cs="仿宋_GB2312"/>
          <w:snapToGrid w:val="0"/>
          <w:kern w:val="0"/>
          <w:sz w:val="32"/>
          <w:szCs w:val="32"/>
        </w:rPr>
        <w:t>+</w:t>
      </w:r>
      <w:r>
        <w:rPr>
          <w:rFonts w:ascii="仿宋_GB2312" w:eastAsia="仿宋_GB2312" w:hint="eastAsia"/>
          <w:sz w:val="32"/>
          <w:szCs w:val="32"/>
        </w:rPr>
        <w:t>”</w:t>
      </w:r>
      <w:r>
        <w:rPr>
          <w:rFonts w:eastAsia="仿宋_GB2312" w:hint="eastAsia"/>
          <w:snapToGrid w:val="0"/>
          <w:kern w:val="0"/>
          <w:sz w:val="32"/>
          <w:szCs w:val="32"/>
        </w:rPr>
        <w:t>项目实施，建设人力社保数据中台，通过多种渠道汇集形成应用资源池与数据湖。大力发展电子社保卡，</w:t>
      </w:r>
      <w:r>
        <w:rPr>
          <w:rFonts w:ascii="仿宋_GB2312" w:eastAsia="仿宋_GB2312" w:hint="eastAsia"/>
          <w:sz w:val="32"/>
          <w:szCs w:val="32"/>
        </w:rPr>
        <w:t>完善三代社保卡建设方案，完善持卡人员基础信息库、“一卡通”服务平台。</w:t>
      </w:r>
    </w:p>
    <w:p w:rsidR="002C2F4D" w:rsidRDefault="002C2F4D">
      <w:pPr>
        <w:adjustRightInd w:val="0"/>
        <w:jc w:val="center"/>
        <w:outlineLvl w:val="0"/>
        <w:rPr>
          <w:rFonts w:ascii="黑体" w:eastAsia="黑体"/>
          <w:bCs/>
          <w:kern w:val="0"/>
          <w:sz w:val="32"/>
          <w:szCs w:val="32"/>
        </w:rPr>
      </w:pPr>
      <w:bookmarkStart w:id="25" w:name="_Toc65837396"/>
    </w:p>
    <w:p w:rsidR="002C2F4D" w:rsidRDefault="00061D81">
      <w:pPr>
        <w:adjustRightInd w:val="0"/>
        <w:jc w:val="center"/>
        <w:outlineLvl w:val="0"/>
        <w:rPr>
          <w:rFonts w:ascii="方正小标宋_GBK" w:eastAsia="方正小标宋_GBK" w:hAnsi="方正小标宋_GBK" w:cs="方正小标宋_GBK"/>
          <w:bCs/>
          <w:kern w:val="0"/>
          <w:sz w:val="32"/>
          <w:szCs w:val="32"/>
        </w:rPr>
      </w:pPr>
      <w:r>
        <w:rPr>
          <w:rFonts w:ascii="方正小标宋_GBK" w:eastAsia="方正小标宋_GBK" w:hAnsi="方正小标宋_GBK" w:cs="方正小标宋_GBK" w:hint="eastAsia"/>
          <w:bCs/>
          <w:kern w:val="0"/>
          <w:sz w:val="32"/>
          <w:szCs w:val="32"/>
        </w:rPr>
        <w:t>第五章　基本社会服务</w:t>
      </w:r>
      <w:bookmarkEnd w:id="25"/>
    </w:p>
    <w:p w:rsidR="002C2F4D" w:rsidRDefault="002C2F4D">
      <w:pPr>
        <w:adjustRightInd w:val="0"/>
        <w:jc w:val="center"/>
        <w:outlineLvl w:val="0"/>
        <w:rPr>
          <w:rFonts w:ascii="黑体" w:eastAsia="黑体"/>
          <w:bCs/>
          <w:kern w:val="0"/>
          <w:sz w:val="32"/>
          <w:szCs w:val="32"/>
        </w:rPr>
      </w:pPr>
    </w:p>
    <w:p w:rsidR="002C2F4D" w:rsidRDefault="00061D81">
      <w:pPr>
        <w:adjustRightInd w:val="0"/>
        <w:jc w:val="center"/>
        <w:outlineLvl w:val="2"/>
        <w:rPr>
          <w:rFonts w:ascii="黑体" w:eastAsia="黑体" w:hAnsi="黑体" w:cs="黑体"/>
          <w:kern w:val="0"/>
          <w:sz w:val="32"/>
          <w:szCs w:val="32"/>
        </w:rPr>
      </w:pPr>
      <w:bookmarkStart w:id="26" w:name="_Toc65837397"/>
      <w:r>
        <w:rPr>
          <w:rFonts w:ascii="黑体" w:eastAsia="黑体" w:hAnsi="黑体" w:cs="黑体" w:hint="eastAsia"/>
          <w:kern w:val="0"/>
          <w:sz w:val="32"/>
          <w:szCs w:val="32"/>
        </w:rPr>
        <w:t>第一节</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重点任务</w:t>
      </w:r>
      <w:bookmarkEnd w:id="26"/>
    </w:p>
    <w:p w:rsidR="002C2F4D" w:rsidRDefault="002C2F4D">
      <w:pPr>
        <w:adjustRightInd w:val="0"/>
        <w:jc w:val="center"/>
        <w:outlineLvl w:val="2"/>
        <w:rPr>
          <w:b/>
          <w:bCs/>
          <w:kern w:val="0"/>
          <w:sz w:val="32"/>
          <w:szCs w:val="32"/>
        </w:rPr>
      </w:pPr>
    </w:p>
    <w:p w:rsidR="002C2F4D" w:rsidRDefault="00061D81" w:rsidP="00FA6DB5">
      <w:pPr>
        <w:tabs>
          <w:tab w:val="left" w:pos="870"/>
        </w:tabs>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夯实社会救助体系。</w:t>
      </w:r>
      <w:r>
        <w:rPr>
          <w:rFonts w:ascii="仿宋_GB2312" w:eastAsia="仿宋_GB2312" w:hint="eastAsia"/>
          <w:bCs/>
          <w:sz w:val="32"/>
          <w:szCs w:val="32"/>
        </w:rPr>
        <w:t>坚持托底线、救急难、可持续原则，健全分层分类救助制度体系。加快构建个案式、立体式、互动式社会救助体系，提升救助效率，实现精准、高效、温暖、智慧救助。创新社会救助方式，探索审核确认权限下放和居住地受理申请，加大购买服务力度，拓展救助服务方式。引导社会组织和社会工作者面向困难群众开展个性化精准帮扶。鼓励慈善力量参与社会救助。</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推进养老服务高质量发展。</w:t>
      </w:r>
      <w:r>
        <w:rPr>
          <w:rFonts w:ascii="仿宋_GB2312" w:eastAsia="仿宋_GB2312" w:hAnsi="仿宋_GB2312" w:cs="仿宋_GB2312" w:hint="eastAsia"/>
          <w:kern w:val="0"/>
          <w:sz w:val="32"/>
          <w:szCs w:val="32"/>
        </w:rPr>
        <w:t>积极应对人口老龄化，</w:t>
      </w:r>
      <w:r>
        <w:rPr>
          <w:rFonts w:ascii="仿宋_GB2312" w:eastAsia="仿宋_GB2312" w:hint="eastAsia"/>
          <w:sz w:val="32"/>
          <w:szCs w:val="32"/>
        </w:rPr>
        <w:t>加快完善居家为基础、社区为依托、机构为补充、医养康养相结合的基本养老服务体系。支持家庭承担养老功能，建立以社区为平台、社会组织为载体、社会工作者</w:t>
      </w:r>
      <w:r>
        <w:rPr>
          <w:rFonts w:ascii="仿宋_GB2312" w:eastAsia="仿宋_GB2312" w:hint="eastAsia"/>
          <w:sz w:val="32"/>
          <w:szCs w:val="32"/>
        </w:rPr>
        <w:t>为支撑的居家养老服务“三社联动”机制。全面建立以空巢、留守、失能、重残、计划生育特殊家庭老年人为主要对象的居家探访制度。逐步调整完善经济困难老年人居家养老服务（护理）补贴受益人群范围和补贴标准。完善长期护理保险制度体系，建立并完善重度失能老年人长期护理项目和等级评定标准等相关配套制度，保障失能老年人长期护理服务需求。调整照料中心职能定位，加快推进社会化运营改革，延伸照料中心服务功能，向居家的行动不便、空巢和失能老年人延伸服务，推进老年人助餐服务全覆盖。健全完善“互联网</w:t>
      </w:r>
      <w:r>
        <w:rPr>
          <w:rFonts w:ascii="仿宋_GB2312" w:eastAsia="仿宋_GB2312" w:hint="eastAsia"/>
          <w:sz w:val="32"/>
          <w:szCs w:val="32"/>
        </w:rPr>
        <w:t>+</w:t>
      </w:r>
      <w:r>
        <w:rPr>
          <w:rFonts w:ascii="仿宋_GB2312" w:eastAsia="仿宋_GB2312" w:hint="eastAsia"/>
          <w:sz w:val="32"/>
          <w:szCs w:val="32"/>
        </w:rPr>
        <w:t>养老”，打造智慧养老服务新模式。探索互</w:t>
      </w:r>
      <w:r>
        <w:rPr>
          <w:rFonts w:ascii="仿宋_GB2312" w:eastAsia="仿宋_GB2312" w:hint="eastAsia"/>
          <w:sz w:val="32"/>
          <w:szCs w:val="32"/>
        </w:rPr>
        <w:t>助型养老模式，培育养老新业态。优化老年人全周期健康服务，构建老年健康服务体系，促进医养结合融合发展。大力发展银发经</w:t>
      </w:r>
      <w:r>
        <w:rPr>
          <w:rFonts w:ascii="仿宋_GB2312" w:eastAsia="仿宋_GB2312" w:hint="eastAsia"/>
          <w:sz w:val="32"/>
          <w:szCs w:val="32"/>
        </w:rPr>
        <w:t>济</w:t>
      </w:r>
      <w:r>
        <w:rPr>
          <w:rFonts w:ascii="仿宋_GB2312" w:eastAsia="仿宋_GB2312" w:hint="eastAsia"/>
          <w:sz w:val="32"/>
          <w:szCs w:val="32"/>
        </w:rPr>
        <w:t>，</w:t>
      </w:r>
      <w:r>
        <w:rPr>
          <w:rFonts w:ascii="仿宋_GB2312" w:eastAsia="仿宋_GB2312" w:hint="eastAsia"/>
          <w:sz w:val="32"/>
          <w:szCs w:val="32"/>
        </w:rPr>
        <w:t>培育发展老年教育、老年体育、老年旅游等多元服务业态</w:t>
      </w:r>
      <w:r>
        <w:rPr>
          <w:rFonts w:ascii="仿宋_GB2312" w:eastAsia="仿宋_GB2312" w:hint="eastAsia"/>
          <w:sz w:val="32"/>
          <w:szCs w:val="32"/>
        </w:rPr>
        <w:t>，</w:t>
      </w:r>
      <w:r>
        <w:rPr>
          <w:rFonts w:ascii="仿宋_GB2312" w:eastAsia="仿宋_GB2312" w:hint="eastAsia"/>
          <w:sz w:val="32"/>
          <w:szCs w:val="32"/>
        </w:rPr>
        <w:t>推动老龄社会信息无障碍建设，在交通、就医、消费、文体活动等方面提供更多智能化适老产品和服务，推动养老事业与养老产业协同发展。</w:t>
      </w:r>
    </w:p>
    <w:p w:rsidR="002C2F4D" w:rsidRDefault="00061D81" w:rsidP="00FA6DB5">
      <w:pPr>
        <w:adjustRightInd w:val="0"/>
        <w:ind w:firstLineChars="200" w:firstLine="622"/>
        <w:rPr>
          <w:rFonts w:ascii="仿宋_GB2312" w:eastAsia="仿宋_GB2312" w:hAnsi="仿宋_GB2312" w:cs="仿宋_GB2312"/>
          <w:kern w:val="0"/>
          <w:sz w:val="32"/>
          <w:szCs w:val="32"/>
        </w:rPr>
      </w:pPr>
      <w:r>
        <w:rPr>
          <w:rFonts w:ascii="楷体_GB2312" w:eastAsia="楷体_GB2312" w:hAnsi="楷体_GB2312" w:cs="楷体_GB2312" w:hint="eastAsia"/>
          <w:sz w:val="32"/>
          <w:szCs w:val="32"/>
        </w:rPr>
        <w:t>提升退役军人服务保障水平。</w:t>
      </w:r>
      <w:r>
        <w:rPr>
          <w:rFonts w:ascii="仿宋_GB2312" w:eastAsia="仿宋_GB2312" w:hAnsi="仿宋_GB2312" w:cs="仿宋_GB2312" w:hint="eastAsia"/>
          <w:kern w:val="0"/>
          <w:sz w:val="32"/>
          <w:szCs w:val="32"/>
        </w:rPr>
        <w:t>在保障退役军人享受普惠性政策和公共服务的基础上，结合服现役期间所作贡献和各区、各部门实际给予优待。持续推进退役军人和其他优抚对象在养老、医疗和救助等公共服务领域的优待服务，不断拓展优待领域和优待内容。加强优抚医院、光荣院等优抚事业单位基础建设，不断提升医疗、康复、疗养等服务保障能力。分类组织开展适应性培训项目，支持学历教育，支持获得学历证书的退役军人同时可以取得多类职业技能等级证书。深化职业技能培训，落实好退役军人职业教育和职业技能培训相关政策。积极开设现代农业、先进制造业、现代服务业、战略性新兴产业以及急</w:t>
      </w:r>
      <w:r>
        <w:rPr>
          <w:rFonts w:ascii="仿宋_GB2312" w:eastAsia="仿宋_GB2312" w:hAnsi="仿宋_GB2312" w:cs="仿宋_GB2312" w:hint="eastAsia"/>
          <w:kern w:val="0"/>
          <w:sz w:val="32"/>
          <w:szCs w:val="32"/>
        </w:rPr>
        <w:t>需紧缺职业等培训项目，大力培养退役军人高技能人才和高层次专业技术人才。</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构建新时代儿童福利保护体系。</w:t>
      </w:r>
      <w:r>
        <w:rPr>
          <w:rFonts w:ascii="仿宋_GB2312" w:eastAsia="仿宋_GB2312" w:hint="eastAsia"/>
          <w:sz w:val="32"/>
          <w:szCs w:val="32"/>
        </w:rPr>
        <w:t>健全孤儿和事实无人抚养儿童保障制度。适时提高孤儿基本生活保障标准，完善困境儿童基本生活、医疗康复、养育安置等配套制度，推进符合条件的事实无人抚养儿童集中养育。建立健全困境儿童分类救助帮扶制度，完善监护缺失儿童救助保护制度。提升街道（乡镇）、社区（村）儿童督导员、儿童主任履职尽责能力。到</w:t>
      </w:r>
      <w:r>
        <w:rPr>
          <w:rFonts w:eastAsia="仿宋_GB2312"/>
          <w:sz w:val="32"/>
          <w:szCs w:val="32"/>
        </w:rPr>
        <w:t>2025</w:t>
      </w:r>
      <w:r>
        <w:rPr>
          <w:rFonts w:ascii="仿宋_GB2312" w:eastAsia="仿宋_GB2312" w:hint="eastAsia"/>
          <w:sz w:val="32"/>
          <w:szCs w:val="32"/>
        </w:rPr>
        <w:t>年底，实现街道（乡镇）儿童督导员、社区（村）儿童主任配置以及新任职培训“两个全覆盖”，每年儿童福利工作人员培训率达到</w:t>
      </w:r>
      <w:r>
        <w:rPr>
          <w:rFonts w:eastAsia="仿宋_GB2312"/>
          <w:sz w:val="32"/>
          <w:szCs w:val="32"/>
        </w:rPr>
        <w:t>1</w:t>
      </w:r>
      <w:r>
        <w:rPr>
          <w:rFonts w:eastAsia="仿宋_GB2312"/>
          <w:sz w:val="32"/>
          <w:szCs w:val="32"/>
        </w:rPr>
        <w:t>00%</w:t>
      </w:r>
      <w:r>
        <w:rPr>
          <w:rFonts w:ascii="仿宋_GB2312" w:eastAsia="仿宋_GB2312" w:hint="eastAsia"/>
          <w:sz w:val="32"/>
          <w:szCs w:val="32"/>
        </w:rPr>
        <w:t>。规范完善收养登记管理。</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深化殡葬管理和服务改革。</w:t>
      </w:r>
      <w:r>
        <w:rPr>
          <w:rFonts w:ascii="仿宋_GB2312" w:eastAsia="仿宋_GB2312" w:hint="eastAsia"/>
          <w:sz w:val="32"/>
          <w:szCs w:val="32"/>
        </w:rPr>
        <w:t>加强殡葬服务设施和涉农区公益性骨灰堂（公墓）建设，积极推进生态安葬，推广海葬、草坪葬、骨灰撒放等节地生态安葬方式。规范经营性公墓管理，鼓励引导经营性公墓开展可循环使用土地的葬式葬法，继续打造“海之眠”特色服务品牌，营造绿色殡葬良好氛围。推进殡葬信息化建设，提高殡仪服务能力。持续推行惠民殡葬服务，进一步规范殡葬服务收费行为。深化丧葬习俗改革，统筹推进殡葬活动移风易俗。在清明节等重点祭扫日期间，通过电视、报纸、殡葬服务单位、社区宣传海报等加强文明祭扫宣传。</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提升救灾物资保障能力。</w:t>
      </w:r>
      <w:r>
        <w:rPr>
          <w:rFonts w:eastAsia="仿宋_GB2312" w:hint="eastAsia"/>
          <w:sz w:val="32"/>
          <w:szCs w:val="32"/>
        </w:rPr>
        <w:t>继续加大救灾物资储备力度，按照每年新增</w:t>
      </w:r>
      <w:r>
        <w:rPr>
          <w:rFonts w:eastAsia="仿宋_GB2312"/>
          <w:sz w:val="32"/>
          <w:szCs w:val="32"/>
        </w:rPr>
        <w:t>1</w:t>
      </w:r>
      <w:r>
        <w:rPr>
          <w:rFonts w:eastAsia="仿宋_GB2312" w:hint="eastAsia"/>
          <w:sz w:val="32"/>
          <w:szCs w:val="32"/>
        </w:rPr>
        <w:t>万人储备量的计划，救灾物资储备总量达到</w:t>
      </w:r>
      <w:r>
        <w:rPr>
          <w:rFonts w:eastAsia="仿宋_GB2312"/>
          <w:sz w:val="32"/>
          <w:szCs w:val="32"/>
        </w:rPr>
        <w:t>13</w:t>
      </w:r>
      <w:r>
        <w:rPr>
          <w:rFonts w:eastAsia="仿宋_GB2312" w:hint="eastAsia"/>
          <w:sz w:val="32"/>
          <w:szCs w:val="32"/>
        </w:rPr>
        <w:t>万人规模。适时修订</w:t>
      </w:r>
      <w:r>
        <w:rPr>
          <w:rFonts w:ascii="仿宋_GB2312" w:eastAsia="仿宋_GB2312" w:hint="eastAsia"/>
          <w:sz w:val="32"/>
          <w:szCs w:val="32"/>
        </w:rPr>
        <w:t>完善本市灾害救助资金管理办法，提升受灾群众应急救助时效。</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深入推进京津冀民政领域协作。</w:t>
      </w:r>
      <w:r>
        <w:rPr>
          <w:rFonts w:ascii="仿宋_GB2312" w:eastAsia="仿宋_GB2312" w:hint="eastAsia"/>
          <w:bCs/>
          <w:sz w:val="32"/>
          <w:szCs w:val="32"/>
        </w:rPr>
        <w:t>健全</w:t>
      </w:r>
      <w:r>
        <w:rPr>
          <w:rFonts w:ascii="仿宋_GB2312" w:eastAsia="仿宋_GB2312" w:hint="eastAsia"/>
          <w:sz w:val="32"/>
          <w:szCs w:val="32"/>
        </w:rPr>
        <w:t>京津冀民政事业协同发展合作框架，完善联席会议、高层论坛、行业交流等沟通协调机制。共同规划三地养老机构布局，鼓励企业或社会组织在津冀地区建设养老机构或养老社区。深化“通武廊”地区一体化改革，重点推动武清区养老护理中心试点建设。开展跨地区购买养老服务试点。推动建设三地社会组织工作联席会议制度。支持民政</w:t>
      </w:r>
      <w:r>
        <w:rPr>
          <w:rFonts w:ascii="仿宋_GB2312" w:eastAsia="仿宋_GB2312" w:hint="eastAsia"/>
          <w:sz w:val="32"/>
          <w:szCs w:val="32"/>
        </w:rPr>
        <w:t>类社会组织在区域协同发展中发挥积极作用。</w:t>
      </w:r>
    </w:p>
    <w:p w:rsidR="002C2F4D" w:rsidRDefault="002C2F4D" w:rsidP="00FA6DB5">
      <w:pPr>
        <w:adjustRightInd w:val="0"/>
        <w:ind w:firstLineChars="200" w:firstLine="622"/>
        <w:rPr>
          <w:rFonts w:ascii="仿宋_GB2312" w:eastAsia="仿宋_GB2312"/>
          <w:sz w:val="32"/>
          <w:szCs w:val="32"/>
        </w:rPr>
      </w:pPr>
    </w:p>
    <w:p w:rsidR="002C2F4D" w:rsidRDefault="00061D81">
      <w:pPr>
        <w:numPr>
          <w:ilvl w:val="0"/>
          <w:numId w:val="1"/>
        </w:numPr>
        <w:adjustRightInd w:val="0"/>
        <w:jc w:val="center"/>
        <w:outlineLvl w:val="2"/>
        <w:rPr>
          <w:rFonts w:ascii="黑体" w:eastAsia="黑体" w:hAnsi="黑体" w:cs="黑体"/>
          <w:kern w:val="0"/>
          <w:sz w:val="32"/>
          <w:szCs w:val="32"/>
        </w:rPr>
      </w:pPr>
      <w:bookmarkStart w:id="27" w:name="_Toc65837398"/>
      <w:r>
        <w:rPr>
          <w:rFonts w:ascii="黑体" w:eastAsia="黑体" w:hAnsi="黑体" w:cs="黑体" w:hint="eastAsia"/>
          <w:kern w:val="0"/>
          <w:sz w:val="32"/>
          <w:szCs w:val="32"/>
        </w:rPr>
        <w:t xml:space="preserve"> </w:t>
      </w:r>
      <w:r>
        <w:rPr>
          <w:rFonts w:ascii="黑体" w:eastAsia="黑体" w:hAnsi="黑体" w:cs="黑体" w:hint="eastAsia"/>
          <w:kern w:val="0"/>
          <w:sz w:val="32"/>
          <w:szCs w:val="32"/>
        </w:rPr>
        <w:t>基本标准</w:t>
      </w:r>
      <w:bookmarkEnd w:id="27"/>
    </w:p>
    <w:p w:rsidR="002C2F4D" w:rsidRDefault="002C2F4D">
      <w:pPr>
        <w:adjustRightInd w:val="0"/>
        <w:outlineLvl w:val="2"/>
        <w:rPr>
          <w:rFonts w:ascii="仿宋_GB2312" w:eastAsia="仿宋_GB2312" w:hAnsi="仿宋_GB2312" w:cs="仿宋_GB2312"/>
          <w:kern w:val="0"/>
          <w:sz w:val="32"/>
          <w:szCs w:val="32"/>
        </w:rPr>
      </w:pPr>
    </w:p>
    <w:p w:rsidR="002C2F4D" w:rsidRDefault="00061D81" w:rsidP="00FA6DB5">
      <w:pPr>
        <w:adjustRightInd w:val="0"/>
        <w:ind w:firstLineChars="200" w:firstLine="622"/>
        <w:outlineLvl w:val="2"/>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以基本社会服务国家基本标准为基础，结合本市实际情况，制定“十四五”时期天津市基本社会服务基本标准。</w:t>
      </w:r>
    </w:p>
    <w:p w:rsidR="002C2F4D" w:rsidRDefault="00061D81" w:rsidP="00FA6DB5">
      <w:pPr>
        <w:adjustRightInd w:val="0"/>
        <w:spacing w:beforeLines="50" w:before="144"/>
        <w:jc w:val="center"/>
        <w:rPr>
          <w:rFonts w:ascii="黑体" w:eastAsia="黑体" w:hAnsi="黑体" w:cs="黑体"/>
          <w:bCs/>
          <w:kern w:val="0"/>
          <w:sz w:val="32"/>
          <w:szCs w:val="32"/>
        </w:rPr>
      </w:pPr>
      <w:r>
        <w:rPr>
          <w:rFonts w:ascii="黑体" w:eastAsia="黑体" w:hAnsi="黑体" w:cs="黑体" w:hint="eastAsia"/>
          <w:bCs/>
          <w:sz w:val="32"/>
          <w:szCs w:val="32"/>
        </w:rPr>
        <w:t>“十四五”时期天津市</w:t>
      </w:r>
      <w:r>
        <w:rPr>
          <w:rFonts w:ascii="黑体" w:eastAsia="黑体" w:hAnsi="黑体" w:cs="黑体" w:hint="eastAsia"/>
          <w:bCs/>
          <w:kern w:val="0"/>
          <w:sz w:val="32"/>
          <w:szCs w:val="32"/>
        </w:rPr>
        <w:t>基本社会服务基本标准</w:t>
      </w:r>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2834"/>
        <w:gridCol w:w="2872"/>
        <w:gridCol w:w="1471"/>
        <w:gridCol w:w="1153"/>
      </w:tblGrid>
      <w:tr w:rsidR="002C2F4D">
        <w:trPr>
          <w:cantSplit/>
          <w:trHeight w:val="567"/>
          <w:tblHeader/>
          <w:jc w:val="center"/>
        </w:trPr>
        <w:tc>
          <w:tcPr>
            <w:tcW w:w="1179" w:type="dxa"/>
            <w:shd w:val="clear" w:color="000000" w:fill="auto"/>
            <w:vAlign w:val="center"/>
          </w:tcPr>
          <w:p w:rsidR="002C2F4D" w:rsidRDefault="00061D81">
            <w:pPr>
              <w:adjustRightInd w:val="0"/>
              <w:snapToGrid w:val="0"/>
              <w:jc w:val="center"/>
              <w:rPr>
                <w:rFonts w:eastAsia="黑体"/>
                <w:kern w:val="0"/>
                <w:sz w:val="24"/>
              </w:rPr>
            </w:pPr>
            <w:r>
              <w:rPr>
                <w:rFonts w:eastAsia="黑体" w:hint="eastAsia"/>
                <w:kern w:val="0"/>
                <w:sz w:val="24"/>
              </w:rPr>
              <w:t>服务项目</w:t>
            </w:r>
          </w:p>
        </w:tc>
        <w:tc>
          <w:tcPr>
            <w:tcW w:w="2834" w:type="dxa"/>
            <w:shd w:val="clear" w:color="000000" w:fill="auto"/>
            <w:vAlign w:val="center"/>
          </w:tcPr>
          <w:p w:rsidR="002C2F4D" w:rsidRDefault="00061D81">
            <w:pPr>
              <w:adjustRightInd w:val="0"/>
              <w:snapToGrid w:val="0"/>
              <w:jc w:val="center"/>
              <w:rPr>
                <w:rFonts w:eastAsia="黑体"/>
                <w:kern w:val="0"/>
                <w:sz w:val="24"/>
              </w:rPr>
            </w:pPr>
            <w:r>
              <w:rPr>
                <w:rFonts w:eastAsia="黑体" w:hint="eastAsia"/>
                <w:kern w:val="0"/>
                <w:sz w:val="24"/>
              </w:rPr>
              <w:t>服务对象</w:t>
            </w:r>
          </w:p>
        </w:tc>
        <w:tc>
          <w:tcPr>
            <w:tcW w:w="2872" w:type="dxa"/>
            <w:shd w:val="clear" w:color="000000" w:fill="auto"/>
            <w:vAlign w:val="center"/>
          </w:tcPr>
          <w:p w:rsidR="002C2F4D" w:rsidRDefault="00061D81">
            <w:pPr>
              <w:adjustRightInd w:val="0"/>
              <w:snapToGrid w:val="0"/>
              <w:jc w:val="center"/>
              <w:rPr>
                <w:rFonts w:eastAsia="黑体"/>
                <w:kern w:val="0"/>
                <w:sz w:val="24"/>
              </w:rPr>
            </w:pPr>
            <w:r>
              <w:rPr>
                <w:rFonts w:eastAsia="黑体" w:hint="eastAsia"/>
                <w:kern w:val="0"/>
                <w:sz w:val="24"/>
              </w:rPr>
              <w:t>保障标准</w:t>
            </w:r>
          </w:p>
        </w:tc>
        <w:tc>
          <w:tcPr>
            <w:tcW w:w="1471" w:type="dxa"/>
            <w:shd w:val="clear" w:color="000000" w:fill="auto"/>
            <w:vAlign w:val="center"/>
          </w:tcPr>
          <w:p w:rsidR="002C2F4D" w:rsidRDefault="00061D81">
            <w:pPr>
              <w:adjustRightInd w:val="0"/>
              <w:snapToGrid w:val="0"/>
              <w:jc w:val="center"/>
              <w:rPr>
                <w:rFonts w:eastAsia="黑体"/>
                <w:kern w:val="0"/>
                <w:sz w:val="24"/>
              </w:rPr>
            </w:pPr>
            <w:r>
              <w:rPr>
                <w:rFonts w:eastAsia="黑体" w:hint="eastAsia"/>
                <w:kern w:val="0"/>
                <w:sz w:val="24"/>
              </w:rPr>
              <w:t>支出责任</w:t>
            </w:r>
          </w:p>
        </w:tc>
        <w:tc>
          <w:tcPr>
            <w:tcW w:w="1153" w:type="dxa"/>
            <w:shd w:val="clear" w:color="000000" w:fill="auto"/>
            <w:vAlign w:val="center"/>
          </w:tcPr>
          <w:p w:rsidR="002C2F4D" w:rsidRDefault="00061D81">
            <w:pPr>
              <w:adjustRightInd w:val="0"/>
              <w:snapToGrid w:val="0"/>
              <w:jc w:val="center"/>
              <w:rPr>
                <w:rFonts w:eastAsia="黑体"/>
                <w:kern w:val="0"/>
                <w:sz w:val="24"/>
              </w:rPr>
            </w:pPr>
            <w:r>
              <w:rPr>
                <w:rFonts w:eastAsia="黑体" w:hint="eastAsia"/>
                <w:kern w:val="0"/>
                <w:sz w:val="24"/>
              </w:rPr>
              <w:t>覆盖水平</w:t>
            </w:r>
          </w:p>
        </w:tc>
      </w:tr>
      <w:tr w:rsidR="002C2F4D">
        <w:trPr>
          <w:cantSplit/>
          <w:trHeight w:val="567"/>
          <w:jc w:val="center"/>
        </w:trPr>
        <w:tc>
          <w:tcPr>
            <w:tcW w:w="9509" w:type="dxa"/>
            <w:gridSpan w:val="5"/>
            <w:shd w:val="clear" w:color="000000" w:fill="auto"/>
            <w:vAlign w:val="center"/>
          </w:tcPr>
          <w:p w:rsidR="002C2F4D" w:rsidRDefault="00061D81">
            <w:pPr>
              <w:adjustRightInd w:val="0"/>
              <w:snapToGrid w:val="0"/>
              <w:rPr>
                <w:rFonts w:eastAsia="楷体_GB2312"/>
                <w:kern w:val="0"/>
                <w:sz w:val="24"/>
              </w:rPr>
            </w:pPr>
            <w:r>
              <w:rPr>
                <w:rFonts w:eastAsia="楷体_GB2312" w:hint="eastAsia"/>
                <w:kern w:val="0"/>
                <w:sz w:val="24"/>
              </w:rPr>
              <w:t>社会救助</w:t>
            </w:r>
          </w:p>
        </w:tc>
      </w:tr>
      <w:tr w:rsidR="002C2F4D">
        <w:trPr>
          <w:trHeight w:val="567"/>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最低生活保障</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家庭人均收入低于最低生活保障标准且财产符合本市相关规定的居民</w:t>
            </w:r>
          </w:p>
        </w:tc>
        <w:tc>
          <w:tcPr>
            <w:tcW w:w="2872"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现行标准为：每人每月</w:t>
            </w:r>
            <w:r>
              <w:rPr>
                <w:rFonts w:eastAsia="仿宋_GB2312"/>
                <w:sz w:val="24"/>
              </w:rPr>
              <w:t>1010</w:t>
            </w:r>
            <w:r>
              <w:rPr>
                <w:rFonts w:eastAsia="仿宋_GB2312" w:hint="eastAsia"/>
                <w:sz w:val="24"/>
              </w:rPr>
              <w:t>元，今后动态调整。</w:t>
            </w:r>
          </w:p>
        </w:tc>
        <w:tc>
          <w:tcPr>
            <w:tcW w:w="1471"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市、区财政负担，中央财政适当补助。</w:t>
            </w:r>
          </w:p>
        </w:tc>
        <w:tc>
          <w:tcPr>
            <w:tcW w:w="1153"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目标人群覆盖率</w:t>
            </w:r>
            <w:r>
              <w:rPr>
                <w:rFonts w:eastAsia="仿宋_GB2312"/>
                <w:sz w:val="24"/>
              </w:rPr>
              <w:t>100%</w:t>
            </w:r>
          </w:p>
        </w:tc>
      </w:tr>
      <w:tr w:rsidR="002C2F4D">
        <w:trPr>
          <w:trHeight w:val="2508"/>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特困人员救助供养</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无劳动能力、无生活来源且无法定赡养、抚养、扶养义务人或者其法定赡养、抚养、扶养义务人无赡养、抚养、扶养能力的老年人、残疾人、未成年人</w:t>
            </w:r>
          </w:p>
        </w:tc>
        <w:tc>
          <w:tcPr>
            <w:tcW w:w="2872"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现行标准为：城市特困人员每人每月</w:t>
            </w:r>
            <w:r>
              <w:rPr>
                <w:rFonts w:eastAsia="仿宋_GB2312"/>
                <w:sz w:val="24"/>
              </w:rPr>
              <w:t>1870</w:t>
            </w:r>
            <w:r>
              <w:rPr>
                <w:rFonts w:eastAsia="仿宋_GB2312" w:hint="eastAsia"/>
                <w:sz w:val="24"/>
              </w:rPr>
              <w:t>元；农村特困人员集中供养每人每月</w:t>
            </w:r>
            <w:r>
              <w:rPr>
                <w:rFonts w:eastAsia="仿宋_GB2312"/>
                <w:sz w:val="24"/>
              </w:rPr>
              <w:t>1870</w:t>
            </w:r>
            <w:r>
              <w:rPr>
                <w:rFonts w:eastAsia="仿宋_GB2312" w:hint="eastAsia"/>
                <w:sz w:val="24"/>
              </w:rPr>
              <w:t>元，分散供养每人每月</w:t>
            </w:r>
            <w:r>
              <w:rPr>
                <w:rFonts w:eastAsia="仿宋_GB2312"/>
                <w:sz w:val="24"/>
              </w:rPr>
              <w:t>1530</w:t>
            </w:r>
            <w:r>
              <w:rPr>
                <w:rFonts w:eastAsia="仿宋_GB2312" w:hint="eastAsia"/>
                <w:sz w:val="24"/>
              </w:rPr>
              <w:t>元。今后随低保标准动态调整。</w:t>
            </w:r>
          </w:p>
        </w:tc>
        <w:tc>
          <w:tcPr>
            <w:tcW w:w="1471"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市、区财政负担，中央财政适当补助。</w:t>
            </w:r>
          </w:p>
        </w:tc>
        <w:tc>
          <w:tcPr>
            <w:tcW w:w="1153"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目标人群覆盖率</w:t>
            </w:r>
            <w:r>
              <w:rPr>
                <w:rFonts w:eastAsia="仿宋_GB2312"/>
                <w:sz w:val="24"/>
              </w:rPr>
              <w:t>100%</w:t>
            </w:r>
          </w:p>
        </w:tc>
      </w:tr>
      <w:tr w:rsidR="002C2F4D">
        <w:trPr>
          <w:trHeight w:val="1600"/>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城乡低收入家庭救助</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人均收入高于低保标准但低于低保标准</w:t>
            </w:r>
            <w:r>
              <w:rPr>
                <w:rFonts w:eastAsia="仿宋_GB2312"/>
                <w:sz w:val="24"/>
              </w:rPr>
              <w:t>150%</w:t>
            </w:r>
            <w:r>
              <w:rPr>
                <w:rFonts w:eastAsia="仿宋_GB2312" w:hint="eastAsia"/>
                <w:sz w:val="24"/>
              </w:rPr>
              <w:t>且财产符合本市相关规定的家庭</w:t>
            </w:r>
          </w:p>
        </w:tc>
        <w:tc>
          <w:tcPr>
            <w:tcW w:w="2872"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现行标准为：每户每月</w:t>
            </w:r>
            <w:r>
              <w:rPr>
                <w:rFonts w:eastAsia="仿宋_GB2312"/>
                <w:sz w:val="24"/>
              </w:rPr>
              <w:t>303</w:t>
            </w:r>
            <w:r>
              <w:rPr>
                <w:rFonts w:eastAsia="仿宋_GB2312" w:hint="eastAsia"/>
                <w:sz w:val="24"/>
              </w:rPr>
              <w:t>元。今后动态调整。</w:t>
            </w:r>
          </w:p>
        </w:tc>
        <w:tc>
          <w:tcPr>
            <w:tcW w:w="1471"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市、区财政负担，中央财政适当补助。</w:t>
            </w:r>
          </w:p>
        </w:tc>
        <w:tc>
          <w:tcPr>
            <w:tcW w:w="1153"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目标人群覆盖率</w:t>
            </w:r>
            <w:r>
              <w:rPr>
                <w:rFonts w:eastAsia="仿宋_GB2312"/>
                <w:sz w:val="24"/>
              </w:rPr>
              <w:t>100%</w:t>
            </w:r>
          </w:p>
        </w:tc>
      </w:tr>
      <w:tr w:rsidR="002C2F4D">
        <w:trPr>
          <w:trHeight w:val="7655"/>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医疗救助</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最低生活保障家庭成员、城乡特困人员及低保边缘家庭</w:t>
            </w:r>
          </w:p>
        </w:tc>
        <w:tc>
          <w:tcPr>
            <w:tcW w:w="2872"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一是资助参保。救助对象参加居民医保，个人缴费部分由政府全额资助。</w:t>
            </w:r>
          </w:p>
          <w:p w:rsidR="002C2F4D" w:rsidRDefault="00061D81">
            <w:pPr>
              <w:adjustRightInd w:val="0"/>
              <w:snapToGrid w:val="0"/>
              <w:rPr>
                <w:rFonts w:eastAsia="仿宋_GB2312"/>
                <w:sz w:val="24"/>
              </w:rPr>
            </w:pPr>
            <w:r>
              <w:rPr>
                <w:rFonts w:eastAsia="仿宋_GB2312" w:hint="eastAsia"/>
                <w:sz w:val="24"/>
              </w:rPr>
              <w:t>二是门诊救助。救助对象经基本医保报销后，门诊政策范围内个人负担部分救助</w:t>
            </w:r>
            <w:r>
              <w:rPr>
                <w:rFonts w:eastAsia="仿宋_GB2312" w:hint="eastAsia"/>
                <w:sz w:val="24"/>
              </w:rPr>
              <w:t>50%</w:t>
            </w:r>
            <w:r>
              <w:rPr>
                <w:rFonts w:eastAsia="仿宋_GB2312" w:hint="eastAsia"/>
                <w:sz w:val="24"/>
              </w:rPr>
              <w:t>，特困供养人员封顶线</w:t>
            </w:r>
            <w:r>
              <w:rPr>
                <w:rFonts w:eastAsia="仿宋_GB2312" w:hint="eastAsia"/>
                <w:sz w:val="24"/>
              </w:rPr>
              <w:t>500</w:t>
            </w:r>
            <w:r>
              <w:rPr>
                <w:rFonts w:eastAsia="仿宋_GB2312" w:hint="eastAsia"/>
                <w:sz w:val="24"/>
              </w:rPr>
              <w:t>元，其他救助对象封顶线</w:t>
            </w:r>
            <w:r>
              <w:rPr>
                <w:rFonts w:eastAsia="仿宋_GB2312" w:hint="eastAsia"/>
                <w:sz w:val="24"/>
              </w:rPr>
              <w:t>200</w:t>
            </w:r>
            <w:r>
              <w:rPr>
                <w:rFonts w:eastAsia="仿宋_GB2312" w:hint="eastAsia"/>
                <w:sz w:val="24"/>
              </w:rPr>
              <w:t>元。</w:t>
            </w:r>
          </w:p>
          <w:p w:rsidR="002C2F4D" w:rsidRDefault="00061D81">
            <w:pPr>
              <w:adjustRightInd w:val="0"/>
              <w:snapToGrid w:val="0"/>
              <w:rPr>
                <w:rFonts w:eastAsia="仿宋_GB2312"/>
                <w:sz w:val="24"/>
              </w:rPr>
            </w:pPr>
            <w:r>
              <w:rPr>
                <w:rFonts w:eastAsia="仿宋_GB2312" w:hint="eastAsia"/>
                <w:sz w:val="24"/>
              </w:rPr>
              <w:t>三是住院救助。救助对象经基本医保、大病保险报销后，住院政策范围内个人负担</w:t>
            </w:r>
            <w:r>
              <w:rPr>
                <w:rFonts w:eastAsia="仿宋_GB2312" w:hint="eastAsia"/>
                <w:sz w:val="24"/>
              </w:rPr>
              <w:t>2</w:t>
            </w:r>
            <w:r>
              <w:rPr>
                <w:rFonts w:eastAsia="仿宋_GB2312" w:hint="eastAsia"/>
                <w:sz w:val="24"/>
              </w:rPr>
              <w:t>万元以下部分救助</w:t>
            </w:r>
            <w:r>
              <w:rPr>
                <w:rFonts w:eastAsia="仿宋_GB2312" w:hint="eastAsia"/>
                <w:sz w:val="24"/>
              </w:rPr>
              <w:t>60%</w:t>
            </w:r>
            <w:r>
              <w:rPr>
                <w:rFonts w:eastAsia="仿宋_GB2312" w:hint="eastAsia"/>
                <w:sz w:val="24"/>
              </w:rPr>
              <w:t>，</w:t>
            </w:r>
            <w:r>
              <w:rPr>
                <w:rFonts w:eastAsia="仿宋_GB2312" w:hint="eastAsia"/>
                <w:sz w:val="24"/>
              </w:rPr>
              <w:t>2</w:t>
            </w:r>
            <w:r>
              <w:rPr>
                <w:rFonts w:eastAsia="仿宋_GB2312" w:hint="eastAsia"/>
                <w:sz w:val="24"/>
              </w:rPr>
              <w:t>万元（含）以上部分救助</w:t>
            </w:r>
            <w:r>
              <w:rPr>
                <w:rFonts w:eastAsia="仿宋_GB2312" w:hint="eastAsia"/>
                <w:sz w:val="24"/>
              </w:rPr>
              <w:t>80%</w:t>
            </w:r>
            <w:r>
              <w:rPr>
                <w:rFonts w:eastAsia="仿宋_GB2312" w:hint="eastAsia"/>
                <w:sz w:val="24"/>
              </w:rPr>
              <w:t>。</w:t>
            </w:r>
          </w:p>
          <w:p w:rsidR="002C2F4D" w:rsidRDefault="00061D81">
            <w:pPr>
              <w:adjustRightInd w:val="0"/>
              <w:snapToGrid w:val="0"/>
              <w:rPr>
                <w:rFonts w:eastAsia="仿宋_GB2312"/>
                <w:kern w:val="0"/>
                <w:sz w:val="24"/>
              </w:rPr>
            </w:pPr>
            <w:r>
              <w:rPr>
                <w:rFonts w:eastAsia="仿宋_GB2312" w:hint="eastAsia"/>
                <w:sz w:val="24"/>
              </w:rPr>
              <w:t>四是重特大疾病救助。救助对象经基本医保、大病保险和住院医疗救助报销后个人负担部分在</w:t>
            </w:r>
            <w:r>
              <w:rPr>
                <w:rFonts w:eastAsia="仿宋_GB2312" w:hint="eastAsia"/>
                <w:sz w:val="24"/>
              </w:rPr>
              <w:t>2</w:t>
            </w:r>
            <w:r>
              <w:rPr>
                <w:rFonts w:eastAsia="仿宋_GB2312" w:hint="eastAsia"/>
                <w:sz w:val="24"/>
              </w:rPr>
              <w:t>万元（含）以上的进行救助，每年救助一次，救助比例</w:t>
            </w:r>
            <w:r>
              <w:rPr>
                <w:rFonts w:eastAsia="仿宋_GB2312" w:hint="eastAsia"/>
                <w:sz w:val="24"/>
              </w:rPr>
              <w:t>50%</w:t>
            </w:r>
            <w:r>
              <w:rPr>
                <w:rFonts w:eastAsia="仿宋_GB2312" w:hint="eastAsia"/>
                <w:sz w:val="24"/>
              </w:rPr>
              <w:t>，封顶线</w:t>
            </w:r>
            <w:r>
              <w:rPr>
                <w:rFonts w:eastAsia="仿宋_GB2312" w:hint="eastAsia"/>
                <w:sz w:val="24"/>
              </w:rPr>
              <w:t>10</w:t>
            </w:r>
            <w:r>
              <w:rPr>
                <w:rFonts w:eastAsia="仿宋_GB2312" w:hint="eastAsia"/>
                <w:sz w:val="24"/>
              </w:rPr>
              <w:t>万元。</w:t>
            </w:r>
          </w:p>
        </w:tc>
        <w:tc>
          <w:tcPr>
            <w:tcW w:w="1471"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市、区财政负担，中央财政适当补助。</w:t>
            </w:r>
          </w:p>
        </w:tc>
        <w:tc>
          <w:tcPr>
            <w:tcW w:w="1153"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目标人群覆盖率</w:t>
            </w:r>
            <w:r>
              <w:rPr>
                <w:rFonts w:eastAsia="仿宋_GB2312"/>
                <w:sz w:val="24"/>
              </w:rPr>
              <w:t>100%</w:t>
            </w:r>
          </w:p>
        </w:tc>
      </w:tr>
      <w:tr w:rsidR="002C2F4D">
        <w:trPr>
          <w:cantSplit/>
          <w:trHeight w:val="567"/>
          <w:jc w:val="center"/>
        </w:trPr>
        <w:tc>
          <w:tcPr>
            <w:tcW w:w="1179" w:type="dxa"/>
            <w:vMerge w:val="restart"/>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临时救助</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急难型救助对象</w:t>
            </w:r>
          </w:p>
        </w:tc>
        <w:tc>
          <w:tcPr>
            <w:tcW w:w="2872"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解决基本生活的救助对象，每人不超过</w:t>
            </w:r>
            <w:r>
              <w:rPr>
                <w:rFonts w:eastAsia="仿宋_GB2312"/>
                <w:kern w:val="0"/>
                <w:sz w:val="24"/>
              </w:rPr>
              <w:t>3</w:t>
            </w:r>
            <w:r>
              <w:rPr>
                <w:rFonts w:eastAsia="仿宋_GB2312" w:hint="eastAsia"/>
                <w:kern w:val="0"/>
                <w:sz w:val="24"/>
              </w:rPr>
              <w:t>个月低保标准；解决医疗救治的救助对象，每人不超过</w:t>
            </w:r>
            <w:r>
              <w:rPr>
                <w:rFonts w:eastAsia="仿宋_GB2312"/>
                <w:kern w:val="0"/>
                <w:sz w:val="24"/>
              </w:rPr>
              <w:t>2</w:t>
            </w:r>
            <w:r>
              <w:rPr>
                <w:rFonts w:eastAsia="仿宋_GB2312" w:hint="eastAsia"/>
                <w:kern w:val="0"/>
                <w:sz w:val="24"/>
              </w:rPr>
              <w:t>万元。</w:t>
            </w:r>
          </w:p>
        </w:tc>
        <w:tc>
          <w:tcPr>
            <w:tcW w:w="1471" w:type="dxa"/>
            <w:vMerge w:val="restart"/>
            <w:shd w:val="clear" w:color="000000" w:fill="auto"/>
            <w:vAlign w:val="center"/>
          </w:tcPr>
          <w:p w:rsidR="002C2F4D" w:rsidRDefault="00061D81">
            <w:pPr>
              <w:adjustRightInd w:val="0"/>
              <w:snapToGrid w:val="0"/>
              <w:rPr>
                <w:rFonts w:eastAsia="仿宋_GB2312"/>
                <w:sz w:val="24"/>
              </w:rPr>
            </w:pPr>
            <w:r>
              <w:rPr>
                <w:rFonts w:eastAsia="仿宋_GB2312" w:hint="eastAsia"/>
                <w:sz w:val="24"/>
              </w:rPr>
              <w:t>市、区财政负担，中央财政适当补助。</w:t>
            </w:r>
          </w:p>
        </w:tc>
        <w:tc>
          <w:tcPr>
            <w:tcW w:w="1153" w:type="dxa"/>
            <w:vMerge w:val="restart"/>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目标人群覆盖率</w:t>
            </w:r>
            <w:r>
              <w:rPr>
                <w:rFonts w:eastAsia="仿宋_GB2312"/>
                <w:sz w:val="24"/>
              </w:rPr>
              <w:t>100%</w:t>
            </w:r>
          </w:p>
        </w:tc>
      </w:tr>
      <w:tr w:rsidR="002C2F4D">
        <w:trPr>
          <w:trHeight w:val="567"/>
          <w:jc w:val="center"/>
        </w:trPr>
        <w:tc>
          <w:tcPr>
            <w:tcW w:w="1179" w:type="dxa"/>
            <w:vMerge/>
            <w:shd w:val="clear" w:color="000000" w:fill="auto"/>
            <w:vAlign w:val="center"/>
          </w:tcPr>
          <w:p w:rsidR="002C2F4D" w:rsidRDefault="002C2F4D">
            <w:pPr>
              <w:adjustRightInd w:val="0"/>
              <w:snapToGrid w:val="0"/>
              <w:rPr>
                <w:rFonts w:eastAsia="仿宋_GB2312"/>
                <w:sz w:val="24"/>
              </w:rPr>
            </w:pP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kern w:val="0"/>
                <w:sz w:val="24"/>
              </w:rPr>
              <w:t>支出型救助对象</w:t>
            </w:r>
          </w:p>
        </w:tc>
        <w:tc>
          <w:tcPr>
            <w:tcW w:w="2872" w:type="dxa"/>
            <w:shd w:val="clear" w:color="000000" w:fill="auto"/>
            <w:vAlign w:val="center"/>
          </w:tcPr>
          <w:p w:rsidR="002C2F4D" w:rsidRDefault="00061D81">
            <w:pPr>
              <w:adjustRightInd w:val="0"/>
              <w:snapToGrid w:val="0"/>
              <w:rPr>
                <w:rFonts w:eastAsia="仿宋_GB2312"/>
                <w:spacing w:val="-6"/>
                <w:kern w:val="0"/>
                <w:sz w:val="24"/>
              </w:rPr>
            </w:pPr>
            <w:r>
              <w:rPr>
                <w:rFonts w:eastAsia="仿宋_GB2312"/>
                <w:spacing w:val="-6"/>
                <w:kern w:val="0"/>
                <w:sz w:val="24"/>
              </w:rPr>
              <w:t>根据申请家庭生活必需品支出自付费用不同，给予不超过</w:t>
            </w:r>
            <w:r>
              <w:rPr>
                <w:rFonts w:eastAsia="仿宋_GB2312"/>
                <w:spacing w:val="-6"/>
                <w:kern w:val="0"/>
                <w:sz w:val="24"/>
              </w:rPr>
              <w:t>24</w:t>
            </w:r>
            <w:r>
              <w:rPr>
                <w:rFonts w:eastAsia="仿宋_GB2312"/>
                <w:spacing w:val="-6"/>
                <w:kern w:val="0"/>
                <w:sz w:val="24"/>
              </w:rPr>
              <w:t>个月的低保标准救助</w:t>
            </w:r>
            <w:r>
              <w:rPr>
                <w:rFonts w:eastAsia="仿宋_GB2312" w:hint="eastAsia"/>
                <w:spacing w:val="-6"/>
                <w:kern w:val="0"/>
                <w:sz w:val="24"/>
              </w:rPr>
              <w:t>。</w:t>
            </w:r>
          </w:p>
        </w:tc>
        <w:tc>
          <w:tcPr>
            <w:tcW w:w="1471" w:type="dxa"/>
            <w:vMerge/>
            <w:shd w:val="clear" w:color="000000" w:fill="auto"/>
            <w:vAlign w:val="center"/>
          </w:tcPr>
          <w:p w:rsidR="002C2F4D" w:rsidRDefault="002C2F4D">
            <w:pPr>
              <w:adjustRightInd w:val="0"/>
              <w:snapToGrid w:val="0"/>
              <w:rPr>
                <w:rFonts w:eastAsia="仿宋_GB2312"/>
                <w:sz w:val="24"/>
              </w:rPr>
            </w:pPr>
          </w:p>
        </w:tc>
        <w:tc>
          <w:tcPr>
            <w:tcW w:w="1153" w:type="dxa"/>
            <w:vMerge/>
            <w:shd w:val="clear" w:color="000000" w:fill="auto"/>
            <w:vAlign w:val="center"/>
          </w:tcPr>
          <w:p w:rsidR="002C2F4D" w:rsidRDefault="002C2F4D">
            <w:pPr>
              <w:adjustRightInd w:val="0"/>
              <w:snapToGrid w:val="0"/>
              <w:textAlignment w:val="center"/>
              <w:rPr>
                <w:rFonts w:eastAsia="仿宋_GB2312"/>
                <w:sz w:val="24"/>
              </w:rPr>
            </w:pPr>
          </w:p>
        </w:tc>
      </w:tr>
      <w:tr w:rsidR="002C2F4D">
        <w:trPr>
          <w:trHeight w:val="567"/>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受灾人员救助</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所有遭受自然灾害、基本生活受到影响的人员</w:t>
            </w:r>
          </w:p>
        </w:tc>
        <w:tc>
          <w:tcPr>
            <w:tcW w:w="2872"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现行标准参照国家补助标准的两倍执行。今后</w:t>
            </w:r>
            <w:r>
              <w:rPr>
                <w:rFonts w:eastAsia="仿宋_GB2312"/>
                <w:sz w:val="24"/>
              </w:rPr>
              <w:t>动态调整</w:t>
            </w:r>
            <w:r>
              <w:rPr>
                <w:rFonts w:eastAsia="仿宋_GB2312" w:hint="eastAsia"/>
                <w:sz w:val="24"/>
              </w:rPr>
              <w:t>。灾后</w:t>
            </w:r>
            <w:r>
              <w:rPr>
                <w:rFonts w:eastAsia="仿宋_GB2312"/>
                <w:sz w:val="24"/>
              </w:rPr>
              <w:t>10</w:t>
            </w:r>
            <w:r>
              <w:rPr>
                <w:rFonts w:eastAsia="仿宋_GB2312" w:hint="eastAsia"/>
                <w:sz w:val="24"/>
              </w:rPr>
              <w:t>小时内，受灾人员基本生活得到初步救助。</w:t>
            </w:r>
          </w:p>
        </w:tc>
        <w:tc>
          <w:tcPr>
            <w:tcW w:w="1471"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市、区财政负担，中央财政适当补助。</w:t>
            </w:r>
          </w:p>
        </w:tc>
        <w:tc>
          <w:tcPr>
            <w:tcW w:w="1153"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目标人群覆盖率</w:t>
            </w:r>
            <w:r>
              <w:rPr>
                <w:rFonts w:eastAsia="仿宋_GB2312"/>
                <w:sz w:val="24"/>
              </w:rPr>
              <w:t>100%</w:t>
            </w:r>
          </w:p>
        </w:tc>
      </w:tr>
      <w:tr w:rsidR="002C2F4D">
        <w:trPr>
          <w:trHeight w:val="567"/>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流浪乞讨人员生活救助</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离家在外、身陷生存困境、自身无力解决食宿，正在或即将处于流浪乞讨状态的人员</w:t>
            </w:r>
          </w:p>
        </w:tc>
        <w:tc>
          <w:tcPr>
            <w:tcW w:w="2872"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kern w:val="0"/>
                <w:sz w:val="24"/>
              </w:rPr>
              <w:t>提供符合食品安全标准的食物；提供服务要求的基本住处；对在站内突发急病的，及时送医救治；帮助与其亲属或者所在单位联系；对没有交通费返回其住所地或者所在单位的，提供乘车凭证或返乡相关服务。</w:t>
            </w:r>
          </w:p>
        </w:tc>
        <w:tc>
          <w:tcPr>
            <w:tcW w:w="1471"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市、区财政负担，中央财政适当补助。</w:t>
            </w:r>
          </w:p>
        </w:tc>
        <w:tc>
          <w:tcPr>
            <w:tcW w:w="1153"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目标人群覆盖率</w:t>
            </w:r>
            <w:r>
              <w:rPr>
                <w:rFonts w:eastAsia="仿宋_GB2312"/>
                <w:sz w:val="24"/>
              </w:rPr>
              <w:t>100%</w:t>
            </w:r>
          </w:p>
        </w:tc>
      </w:tr>
      <w:tr w:rsidR="002C2F4D">
        <w:trPr>
          <w:trHeight w:val="567"/>
          <w:jc w:val="center"/>
        </w:trPr>
        <w:tc>
          <w:tcPr>
            <w:tcW w:w="1179"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法律援助</w:t>
            </w:r>
          </w:p>
        </w:tc>
        <w:tc>
          <w:tcPr>
            <w:tcW w:w="2834"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kern w:val="0"/>
                <w:sz w:val="24"/>
              </w:rPr>
              <w:t>经济困难公民和符合法定条件的当事人</w:t>
            </w:r>
          </w:p>
        </w:tc>
        <w:tc>
          <w:tcPr>
            <w:tcW w:w="2872"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kern w:val="0"/>
                <w:sz w:val="24"/>
              </w:rPr>
              <w:t>按照法律援助标准执行。</w:t>
            </w:r>
          </w:p>
        </w:tc>
        <w:tc>
          <w:tcPr>
            <w:tcW w:w="1471"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市、区财政负担。</w:t>
            </w:r>
          </w:p>
        </w:tc>
        <w:tc>
          <w:tcPr>
            <w:tcW w:w="1153"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目标人群覆盖率</w:t>
            </w:r>
            <w:r>
              <w:rPr>
                <w:rFonts w:eastAsia="仿宋_GB2312"/>
                <w:sz w:val="24"/>
              </w:rPr>
              <w:t>100%</w:t>
            </w:r>
          </w:p>
        </w:tc>
      </w:tr>
      <w:tr w:rsidR="002C2F4D">
        <w:trPr>
          <w:cantSplit/>
          <w:trHeight w:val="567"/>
          <w:jc w:val="center"/>
        </w:trPr>
        <w:tc>
          <w:tcPr>
            <w:tcW w:w="9509" w:type="dxa"/>
            <w:gridSpan w:val="5"/>
            <w:shd w:val="clear" w:color="000000" w:fill="auto"/>
            <w:vAlign w:val="center"/>
          </w:tcPr>
          <w:p w:rsidR="002C2F4D" w:rsidRDefault="00061D81">
            <w:pPr>
              <w:adjustRightInd w:val="0"/>
              <w:snapToGrid w:val="0"/>
              <w:rPr>
                <w:rFonts w:eastAsia="楷体_GB2312"/>
                <w:kern w:val="0"/>
                <w:sz w:val="24"/>
              </w:rPr>
            </w:pPr>
            <w:r>
              <w:rPr>
                <w:rFonts w:eastAsia="楷体_GB2312" w:hint="eastAsia"/>
                <w:kern w:val="0"/>
                <w:sz w:val="24"/>
              </w:rPr>
              <w:t>优抚安置</w:t>
            </w:r>
          </w:p>
        </w:tc>
      </w:tr>
      <w:tr w:rsidR="002C2F4D">
        <w:trPr>
          <w:trHeight w:val="567"/>
          <w:jc w:val="center"/>
        </w:trPr>
        <w:tc>
          <w:tcPr>
            <w:tcW w:w="1179"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优待抚恤</w:t>
            </w:r>
          </w:p>
        </w:tc>
        <w:tc>
          <w:tcPr>
            <w:tcW w:w="2834"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享受定期抚恤补助的优抚对象</w:t>
            </w:r>
          </w:p>
        </w:tc>
        <w:tc>
          <w:tcPr>
            <w:tcW w:w="2872"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从</w:t>
            </w:r>
            <w:r>
              <w:rPr>
                <w:rFonts w:eastAsia="仿宋_GB2312"/>
                <w:sz w:val="24"/>
              </w:rPr>
              <w:t>2021</w:t>
            </w:r>
            <w:r>
              <w:rPr>
                <w:rFonts w:eastAsia="仿宋_GB2312" w:hint="eastAsia"/>
                <w:sz w:val="24"/>
              </w:rPr>
              <w:t>年到</w:t>
            </w:r>
            <w:r>
              <w:rPr>
                <w:rFonts w:eastAsia="仿宋_GB2312"/>
                <w:sz w:val="24"/>
              </w:rPr>
              <w:t>2025</w:t>
            </w:r>
            <w:r>
              <w:rPr>
                <w:rFonts w:eastAsia="仿宋_GB2312" w:hint="eastAsia"/>
                <w:sz w:val="24"/>
              </w:rPr>
              <w:t>年，按照本市优抚对象抚恤补助自然增长机制，不断提高优待抚恤补助标准。</w:t>
            </w:r>
          </w:p>
        </w:tc>
        <w:tc>
          <w:tcPr>
            <w:tcW w:w="1471"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各级财政负担。</w:t>
            </w:r>
          </w:p>
        </w:tc>
        <w:tc>
          <w:tcPr>
            <w:tcW w:w="1153"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目标人群覆盖率</w:t>
            </w:r>
            <w:r>
              <w:rPr>
                <w:rFonts w:eastAsia="仿宋_GB2312"/>
                <w:sz w:val="24"/>
              </w:rPr>
              <w:t>100%</w:t>
            </w:r>
          </w:p>
        </w:tc>
      </w:tr>
      <w:tr w:rsidR="002C2F4D">
        <w:trPr>
          <w:trHeight w:val="567"/>
          <w:jc w:val="center"/>
        </w:trPr>
        <w:tc>
          <w:tcPr>
            <w:tcW w:w="1179"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退役军人安置</w:t>
            </w:r>
          </w:p>
        </w:tc>
        <w:tc>
          <w:tcPr>
            <w:tcW w:w="2834"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本市接收安置的自主就业退役士兵</w:t>
            </w:r>
          </w:p>
        </w:tc>
        <w:tc>
          <w:tcPr>
            <w:tcW w:w="2872"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自主就业退役士兵一次性经济补助标准，根据本市经济社会发展水平适时调整。</w:t>
            </w:r>
          </w:p>
        </w:tc>
        <w:tc>
          <w:tcPr>
            <w:tcW w:w="1471"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市、区财政负担。</w:t>
            </w:r>
          </w:p>
        </w:tc>
        <w:tc>
          <w:tcPr>
            <w:tcW w:w="1153"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目标人群覆盖率</w:t>
            </w:r>
            <w:r>
              <w:rPr>
                <w:rFonts w:eastAsia="仿宋_GB2312"/>
                <w:sz w:val="24"/>
              </w:rPr>
              <w:t>100%</w:t>
            </w:r>
          </w:p>
        </w:tc>
      </w:tr>
      <w:tr w:rsidR="002C2F4D">
        <w:trPr>
          <w:trHeight w:val="567"/>
          <w:jc w:val="center"/>
        </w:trPr>
        <w:tc>
          <w:tcPr>
            <w:tcW w:w="1179"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退役军人就业创业服务</w:t>
            </w:r>
          </w:p>
        </w:tc>
        <w:tc>
          <w:tcPr>
            <w:tcW w:w="2834"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退役军人</w:t>
            </w:r>
          </w:p>
        </w:tc>
        <w:tc>
          <w:tcPr>
            <w:tcW w:w="2872"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各区退役军人事务部门每年至少组织</w:t>
            </w:r>
            <w:r>
              <w:rPr>
                <w:rFonts w:eastAsia="仿宋_GB2312"/>
                <w:sz w:val="24"/>
              </w:rPr>
              <w:t>2</w:t>
            </w:r>
            <w:r>
              <w:rPr>
                <w:rFonts w:eastAsia="仿宋_GB2312" w:hint="eastAsia"/>
                <w:sz w:val="24"/>
              </w:rPr>
              <w:t>次退役军人专场招聘活动。</w:t>
            </w:r>
          </w:p>
        </w:tc>
        <w:tc>
          <w:tcPr>
            <w:tcW w:w="1471"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区财政负担。</w:t>
            </w:r>
          </w:p>
        </w:tc>
        <w:tc>
          <w:tcPr>
            <w:tcW w:w="1153"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目标人群覆盖率</w:t>
            </w:r>
            <w:r>
              <w:rPr>
                <w:rFonts w:eastAsia="仿宋_GB2312"/>
                <w:sz w:val="24"/>
              </w:rPr>
              <w:t>100%</w:t>
            </w:r>
          </w:p>
        </w:tc>
      </w:tr>
      <w:tr w:rsidR="002C2F4D">
        <w:trPr>
          <w:cantSplit/>
          <w:trHeight w:val="3352"/>
          <w:jc w:val="center"/>
        </w:trPr>
        <w:tc>
          <w:tcPr>
            <w:tcW w:w="1179"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特殊群体集中供养</w:t>
            </w:r>
          </w:p>
        </w:tc>
        <w:tc>
          <w:tcPr>
            <w:tcW w:w="2834"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老年、残疾或者未满</w:t>
            </w:r>
            <w:r>
              <w:rPr>
                <w:rFonts w:eastAsia="仿宋_GB2312" w:hint="eastAsia"/>
                <w:sz w:val="24"/>
              </w:rPr>
              <w:t>16</w:t>
            </w:r>
            <w:r>
              <w:rPr>
                <w:rFonts w:eastAsia="仿宋_GB2312" w:hint="eastAsia"/>
                <w:sz w:val="24"/>
              </w:rPr>
              <w:t>周岁的烈士遗属、因公牺牲军人遗属、病故军人遗属和进入老年的残疾军人、复员军人、退伍军人，无法定赡养人、扶养人、抚养人或者法定赡养人、扶养人、抚养人无赡养、扶养、抚养能力且享受国家定期抚恤补助待遇的</w:t>
            </w:r>
          </w:p>
        </w:tc>
        <w:tc>
          <w:tcPr>
            <w:tcW w:w="2872"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从</w:t>
            </w:r>
            <w:r>
              <w:rPr>
                <w:rFonts w:eastAsia="仿宋_GB2312"/>
                <w:sz w:val="24"/>
              </w:rPr>
              <w:t>2021</w:t>
            </w:r>
            <w:r>
              <w:rPr>
                <w:rFonts w:eastAsia="仿宋_GB2312" w:hint="eastAsia"/>
                <w:sz w:val="24"/>
              </w:rPr>
              <w:t>年到</w:t>
            </w:r>
            <w:r>
              <w:rPr>
                <w:rFonts w:eastAsia="仿宋_GB2312"/>
                <w:sz w:val="24"/>
              </w:rPr>
              <w:t>2025</w:t>
            </w:r>
            <w:r>
              <w:rPr>
                <w:rFonts w:eastAsia="仿宋_GB2312" w:hint="eastAsia"/>
                <w:sz w:val="24"/>
              </w:rPr>
              <w:t>年，根据本市经济社会发展水平，适时提高优抚对象集中供养保障水平。</w:t>
            </w:r>
          </w:p>
        </w:tc>
        <w:tc>
          <w:tcPr>
            <w:tcW w:w="1471"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各级财政负担。</w:t>
            </w:r>
          </w:p>
        </w:tc>
        <w:tc>
          <w:tcPr>
            <w:tcW w:w="1153" w:type="dxa"/>
            <w:shd w:val="clear" w:color="000000" w:fill="auto"/>
            <w:vAlign w:val="center"/>
          </w:tcPr>
          <w:p w:rsidR="002C2F4D" w:rsidRDefault="00061D81">
            <w:pPr>
              <w:adjustRightInd w:val="0"/>
              <w:snapToGrid w:val="0"/>
              <w:textAlignment w:val="center"/>
              <w:rPr>
                <w:rFonts w:eastAsia="仿宋_GB2312"/>
                <w:kern w:val="0"/>
                <w:sz w:val="24"/>
              </w:rPr>
            </w:pPr>
            <w:r>
              <w:rPr>
                <w:rFonts w:eastAsia="仿宋_GB2312" w:hint="eastAsia"/>
                <w:sz w:val="24"/>
              </w:rPr>
              <w:t>目标人群覆盖率</w:t>
            </w:r>
            <w:r>
              <w:rPr>
                <w:rFonts w:eastAsia="仿宋_GB2312"/>
                <w:sz w:val="24"/>
              </w:rPr>
              <w:t>100%</w:t>
            </w:r>
          </w:p>
        </w:tc>
      </w:tr>
      <w:tr w:rsidR="002C2F4D">
        <w:trPr>
          <w:cantSplit/>
          <w:trHeight w:val="567"/>
          <w:jc w:val="center"/>
        </w:trPr>
        <w:tc>
          <w:tcPr>
            <w:tcW w:w="9509" w:type="dxa"/>
            <w:gridSpan w:val="5"/>
            <w:shd w:val="clear" w:color="000000" w:fill="auto"/>
            <w:vAlign w:val="center"/>
          </w:tcPr>
          <w:p w:rsidR="002C2F4D" w:rsidRDefault="00061D81">
            <w:pPr>
              <w:adjustRightInd w:val="0"/>
              <w:snapToGrid w:val="0"/>
              <w:rPr>
                <w:rFonts w:eastAsia="楷体_GB2312"/>
                <w:kern w:val="0"/>
                <w:sz w:val="24"/>
              </w:rPr>
            </w:pPr>
            <w:r>
              <w:rPr>
                <w:rFonts w:eastAsia="楷体_GB2312" w:hint="eastAsia"/>
                <w:kern w:val="0"/>
                <w:sz w:val="24"/>
              </w:rPr>
              <w:t>社会福利</w:t>
            </w:r>
          </w:p>
        </w:tc>
      </w:tr>
      <w:tr w:rsidR="002C2F4D">
        <w:trPr>
          <w:cantSplit/>
          <w:trHeight w:val="1709"/>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未成年人救助保护</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离家在外、身陷生存困境、自身无力解决食宿，正在或即将处于流浪乞讨状态的人员中的未成年人</w:t>
            </w:r>
          </w:p>
        </w:tc>
        <w:tc>
          <w:tcPr>
            <w:tcW w:w="2872"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提供临时基本食物、住处和急病救助、心理辅导、教育矫治、康复训练、技术培训、文化教育、返乡及安置服务。</w:t>
            </w:r>
          </w:p>
        </w:tc>
        <w:tc>
          <w:tcPr>
            <w:tcW w:w="1471"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市、区财政负担，中央财政适当补助。</w:t>
            </w:r>
          </w:p>
        </w:tc>
        <w:tc>
          <w:tcPr>
            <w:tcW w:w="1153"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目标人群覆盖率</w:t>
            </w:r>
            <w:r>
              <w:rPr>
                <w:rFonts w:eastAsia="仿宋_GB2312"/>
                <w:sz w:val="24"/>
              </w:rPr>
              <w:t>100%</w:t>
            </w:r>
          </w:p>
        </w:tc>
      </w:tr>
      <w:tr w:rsidR="002C2F4D">
        <w:trPr>
          <w:trHeight w:val="2368"/>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困境儿童保障</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因自身残疾导致康复、照料、护理和社会融入等困难的儿童，以及因家庭监护缺失或监护不当遭受虐待、遗弃、意外伤害、不法侵害等导致人身安全受到威胁或侵害的儿童</w:t>
            </w:r>
          </w:p>
        </w:tc>
        <w:tc>
          <w:tcPr>
            <w:tcW w:w="2872"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为困境儿童提供基本生活保障、基本医疗保障、教育保障，落实抚养监护责任。为残疾的困境儿童提供康复救助等福利服务。</w:t>
            </w:r>
          </w:p>
        </w:tc>
        <w:tc>
          <w:tcPr>
            <w:tcW w:w="1471"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市、区财政负担，中央财政适当补助。</w:t>
            </w:r>
          </w:p>
        </w:tc>
        <w:tc>
          <w:tcPr>
            <w:tcW w:w="1153"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目标人群覆盖率</w:t>
            </w:r>
            <w:r>
              <w:rPr>
                <w:rFonts w:eastAsia="仿宋_GB2312"/>
                <w:sz w:val="24"/>
              </w:rPr>
              <w:t>100%</w:t>
            </w:r>
          </w:p>
        </w:tc>
      </w:tr>
      <w:tr w:rsidR="002C2F4D">
        <w:trPr>
          <w:trHeight w:val="2368"/>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特殊儿童群体基本生活保障</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孤儿、事实无人抚养儿童、艾滋病病毒感染儿童</w:t>
            </w:r>
          </w:p>
        </w:tc>
        <w:tc>
          <w:tcPr>
            <w:tcW w:w="2872"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社会散居孤儿每人每月</w:t>
            </w:r>
            <w:r>
              <w:rPr>
                <w:rFonts w:eastAsia="仿宋_GB2312"/>
                <w:sz w:val="24"/>
              </w:rPr>
              <w:t>2570</w:t>
            </w:r>
            <w:r>
              <w:rPr>
                <w:rFonts w:eastAsia="仿宋_GB2312" w:hint="eastAsia"/>
                <w:sz w:val="24"/>
              </w:rPr>
              <w:t>元，集中供养孤儿每人每月</w:t>
            </w:r>
            <w:r>
              <w:rPr>
                <w:rFonts w:eastAsia="仿宋_GB2312"/>
                <w:sz w:val="24"/>
              </w:rPr>
              <w:t>2590</w:t>
            </w:r>
            <w:r>
              <w:rPr>
                <w:rFonts w:eastAsia="仿宋_GB2312" w:hint="eastAsia"/>
                <w:sz w:val="24"/>
              </w:rPr>
              <w:t>元，随低保标准调整。事实无人抚养儿童、艾滋病病毒感染儿童参照社会散居孤儿基本生活费全额执行。</w:t>
            </w:r>
          </w:p>
        </w:tc>
        <w:tc>
          <w:tcPr>
            <w:tcW w:w="1471"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市、区财政负担，中央财政适当补助。</w:t>
            </w:r>
          </w:p>
        </w:tc>
        <w:tc>
          <w:tcPr>
            <w:tcW w:w="1153"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目标人群覆盖率</w:t>
            </w:r>
            <w:r>
              <w:rPr>
                <w:rFonts w:eastAsia="仿宋_GB2312"/>
                <w:sz w:val="24"/>
              </w:rPr>
              <w:t>100%</w:t>
            </w:r>
          </w:p>
        </w:tc>
      </w:tr>
      <w:tr w:rsidR="002C2F4D">
        <w:trPr>
          <w:trHeight w:val="1671"/>
          <w:jc w:val="center"/>
        </w:trPr>
        <w:tc>
          <w:tcPr>
            <w:tcW w:w="1179"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农村留守儿童关爱保护</w:t>
            </w:r>
          </w:p>
        </w:tc>
        <w:tc>
          <w:tcPr>
            <w:tcW w:w="2834"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kern w:val="0"/>
                <w:sz w:val="24"/>
              </w:rPr>
              <w:t>居住在本市农村，并具有属地户籍</w:t>
            </w:r>
            <w:r>
              <w:rPr>
                <w:rFonts w:eastAsia="仿宋_GB2312"/>
                <w:kern w:val="0"/>
                <w:sz w:val="24"/>
              </w:rPr>
              <w:t>，父母双方外出务工或一方外出务工另一方无监护能力、未满</w:t>
            </w:r>
            <w:r>
              <w:rPr>
                <w:rFonts w:eastAsia="仿宋_GB2312"/>
                <w:kern w:val="0"/>
                <w:sz w:val="24"/>
              </w:rPr>
              <w:t>16</w:t>
            </w:r>
            <w:r>
              <w:rPr>
                <w:rFonts w:eastAsia="仿宋_GB2312" w:hint="eastAsia"/>
                <w:kern w:val="0"/>
                <w:sz w:val="24"/>
              </w:rPr>
              <w:t>周岁</w:t>
            </w:r>
            <w:r>
              <w:rPr>
                <w:rFonts w:eastAsia="仿宋_GB2312"/>
                <w:kern w:val="0"/>
                <w:sz w:val="24"/>
              </w:rPr>
              <w:t>的未成年人</w:t>
            </w:r>
          </w:p>
        </w:tc>
        <w:tc>
          <w:tcPr>
            <w:tcW w:w="2872"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按照《天津市人民政府关于加强农村留守儿童关爱保护工作的实施意见》（津政发〔</w:t>
            </w:r>
            <w:r>
              <w:rPr>
                <w:rFonts w:eastAsia="仿宋_GB2312" w:hint="eastAsia"/>
                <w:sz w:val="24"/>
              </w:rPr>
              <w:t>2016</w:t>
            </w:r>
            <w:r>
              <w:rPr>
                <w:rFonts w:eastAsia="仿宋_GB2312" w:hint="eastAsia"/>
                <w:sz w:val="24"/>
              </w:rPr>
              <w:t>〕</w:t>
            </w:r>
            <w:r>
              <w:rPr>
                <w:rFonts w:eastAsia="仿宋_GB2312" w:hint="eastAsia"/>
                <w:sz w:val="24"/>
              </w:rPr>
              <w:t>25</w:t>
            </w:r>
            <w:r>
              <w:rPr>
                <w:rFonts w:eastAsia="仿宋_GB2312" w:hint="eastAsia"/>
                <w:sz w:val="24"/>
              </w:rPr>
              <w:t>号）等相关规定予以保障。</w:t>
            </w:r>
          </w:p>
        </w:tc>
        <w:tc>
          <w:tcPr>
            <w:tcW w:w="1471"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市、区财政负担。</w:t>
            </w:r>
          </w:p>
        </w:tc>
        <w:tc>
          <w:tcPr>
            <w:tcW w:w="1153"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目标人群覆盖率</w:t>
            </w:r>
            <w:r>
              <w:rPr>
                <w:rFonts w:eastAsia="仿宋_GB2312"/>
                <w:sz w:val="24"/>
              </w:rPr>
              <w:t>100%</w:t>
            </w:r>
          </w:p>
        </w:tc>
      </w:tr>
      <w:tr w:rsidR="002C2F4D">
        <w:trPr>
          <w:trHeight w:val="567"/>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儿童福利机构集中供养成年孤儿社会安置保障</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市级儿童福利机构、市未成年人救助保护中心年满</w:t>
            </w:r>
            <w:r>
              <w:rPr>
                <w:rFonts w:eastAsia="仿宋_GB2312" w:hint="eastAsia"/>
                <w:sz w:val="24"/>
              </w:rPr>
              <w:t>18</w:t>
            </w:r>
            <w:r>
              <w:rPr>
                <w:rFonts w:eastAsia="仿宋_GB2312" w:hint="eastAsia"/>
                <w:sz w:val="24"/>
              </w:rPr>
              <w:t>周岁、具有福利机构集体户籍、在机构内生活且未婚、通过社会安置综合评估的孤儿</w:t>
            </w:r>
          </w:p>
        </w:tc>
        <w:tc>
          <w:tcPr>
            <w:tcW w:w="2872"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对经过评估，符合社会安置条件的成年孤儿给予一次性社会安置费</w:t>
            </w:r>
            <w:r>
              <w:rPr>
                <w:rFonts w:eastAsia="仿宋_GB2312" w:hint="eastAsia"/>
                <w:sz w:val="24"/>
              </w:rPr>
              <w:t>15</w:t>
            </w:r>
            <w:r>
              <w:rPr>
                <w:rFonts w:eastAsia="仿宋_GB2312" w:hint="eastAsia"/>
                <w:sz w:val="24"/>
              </w:rPr>
              <w:t>万元。</w:t>
            </w:r>
          </w:p>
        </w:tc>
        <w:tc>
          <w:tcPr>
            <w:tcW w:w="1471"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市财政负担。</w:t>
            </w:r>
          </w:p>
        </w:tc>
        <w:tc>
          <w:tcPr>
            <w:tcW w:w="1153"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目标人群覆盖率</w:t>
            </w:r>
            <w:r>
              <w:rPr>
                <w:rFonts w:eastAsia="仿宋_GB2312"/>
                <w:sz w:val="24"/>
              </w:rPr>
              <w:t>100%</w:t>
            </w:r>
          </w:p>
        </w:tc>
      </w:tr>
      <w:tr w:rsidR="002C2F4D">
        <w:trPr>
          <w:cantSplit/>
          <w:trHeight w:val="567"/>
          <w:jc w:val="center"/>
        </w:trPr>
        <w:tc>
          <w:tcPr>
            <w:tcW w:w="9509" w:type="dxa"/>
            <w:gridSpan w:val="5"/>
            <w:shd w:val="clear" w:color="000000" w:fill="auto"/>
            <w:vAlign w:val="center"/>
          </w:tcPr>
          <w:p w:rsidR="002C2F4D" w:rsidRDefault="00061D81">
            <w:pPr>
              <w:adjustRightInd w:val="0"/>
              <w:snapToGrid w:val="0"/>
              <w:rPr>
                <w:rFonts w:eastAsia="楷体_GB2312"/>
                <w:kern w:val="0"/>
                <w:sz w:val="24"/>
              </w:rPr>
            </w:pPr>
            <w:r>
              <w:rPr>
                <w:rFonts w:eastAsia="楷体_GB2312" w:hint="eastAsia"/>
                <w:kern w:val="0"/>
                <w:sz w:val="24"/>
              </w:rPr>
              <w:t>养老服务</w:t>
            </w:r>
          </w:p>
        </w:tc>
      </w:tr>
      <w:tr w:rsidR="002C2F4D">
        <w:trPr>
          <w:cantSplit/>
          <w:trHeight w:val="567"/>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困难老年人居家养老服务（护理）补贴</w:t>
            </w:r>
          </w:p>
        </w:tc>
        <w:tc>
          <w:tcPr>
            <w:tcW w:w="2834"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本市户籍</w:t>
            </w:r>
            <w:r>
              <w:rPr>
                <w:rFonts w:eastAsia="仿宋_GB2312"/>
                <w:sz w:val="24"/>
              </w:rPr>
              <w:t>60</w:t>
            </w:r>
            <w:r>
              <w:rPr>
                <w:rFonts w:eastAsia="仿宋_GB2312" w:hint="eastAsia"/>
                <w:sz w:val="24"/>
              </w:rPr>
              <w:t>岁以上低保、低收入和部分重点优抚对象中的失能老年人；</w:t>
            </w:r>
            <w:r>
              <w:rPr>
                <w:rFonts w:eastAsia="仿宋_GB2312"/>
                <w:sz w:val="24"/>
              </w:rPr>
              <w:t>本市户籍</w:t>
            </w:r>
            <w:r>
              <w:rPr>
                <w:rFonts w:eastAsia="仿宋_GB2312"/>
                <w:sz w:val="24"/>
              </w:rPr>
              <w:t>80</w:t>
            </w:r>
            <w:r>
              <w:rPr>
                <w:rFonts w:eastAsia="仿宋_GB2312"/>
                <w:sz w:val="24"/>
              </w:rPr>
              <w:t>岁以上</w:t>
            </w:r>
            <w:r>
              <w:rPr>
                <w:rFonts w:eastAsia="仿宋_GB2312" w:hint="eastAsia"/>
                <w:sz w:val="24"/>
              </w:rPr>
              <w:t>的</w:t>
            </w:r>
            <w:r>
              <w:rPr>
                <w:rFonts w:eastAsia="仿宋_GB2312"/>
                <w:sz w:val="24"/>
              </w:rPr>
              <w:t>家庭人均收入低于</w:t>
            </w:r>
            <w:r>
              <w:rPr>
                <w:rFonts w:eastAsia="仿宋_GB2312" w:hint="eastAsia"/>
                <w:sz w:val="24"/>
              </w:rPr>
              <w:t>本</w:t>
            </w:r>
            <w:r>
              <w:rPr>
                <w:rFonts w:eastAsia="仿宋_GB2312"/>
                <w:sz w:val="24"/>
              </w:rPr>
              <w:t>市最低工资标准的城镇独生子女父母</w:t>
            </w:r>
            <w:r>
              <w:rPr>
                <w:rFonts w:eastAsia="仿宋_GB2312" w:hint="eastAsia"/>
                <w:sz w:val="24"/>
              </w:rPr>
              <w:t>、</w:t>
            </w:r>
            <w:r>
              <w:rPr>
                <w:rFonts w:eastAsia="仿宋_GB2312"/>
                <w:sz w:val="24"/>
              </w:rPr>
              <w:t>市级劳动模范</w:t>
            </w:r>
            <w:r>
              <w:rPr>
                <w:rFonts w:eastAsia="仿宋_GB2312" w:hint="eastAsia"/>
                <w:sz w:val="24"/>
              </w:rPr>
              <w:t>中的</w:t>
            </w:r>
            <w:r>
              <w:rPr>
                <w:rFonts w:eastAsia="仿宋_GB2312"/>
                <w:sz w:val="24"/>
              </w:rPr>
              <w:t>失能老年人</w:t>
            </w:r>
            <w:r>
              <w:rPr>
                <w:rFonts w:eastAsia="仿宋_GB2312" w:hint="eastAsia"/>
                <w:sz w:val="24"/>
              </w:rPr>
              <w:t>；本市户籍</w:t>
            </w:r>
            <w:r>
              <w:rPr>
                <w:rFonts w:eastAsia="仿宋_GB2312"/>
                <w:sz w:val="24"/>
              </w:rPr>
              <w:t>80</w:t>
            </w:r>
            <w:r>
              <w:rPr>
                <w:rFonts w:eastAsia="仿宋_GB2312" w:hint="eastAsia"/>
                <w:sz w:val="24"/>
              </w:rPr>
              <w:t>岁以上的农村无子女（包括未生育子女和子女已去世）且失能的老年人；本市户籍</w:t>
            </w:r>
            <w:r>
              <w:rPr>
                <w:rFonts w:eastAsia="仿宋_GB2312"/>
                <w:sz w:val="24"/>
              </w:rPr>
              <w:t>80</w:t>
            </w:r>
            <w:r>
              <w:rPr>
                <w:rFonts w:eastAsia="仿宋_GB2312" w:hint="eastAsia"/>
                <w:sz w:val="24"/>
              </w:rPr>
              <w:t>岁以上的农村独生子女父母（子女年龄达</w:t>
            </w:r>
            <w:r>
              <w:rPr>
                <w:rFonts w:eastAsia="仿宋_GB2312"/>
                <w:sz w:val="24"/>
              </w:rPr>
              <w:t>60</w:t>
            </w:r>
            <w:r>
              <w:rPr>
                <w:rFonts w:eastAsia="仿宋_GB2312" w:hint="eastAsia"/>
                <w:sz w:val="24"/>
              </w:rPr>
              <w:t>岁以上）中的失能老年人</w:t>
            </w:r>
          </w:p>
        </w:tc>
        <w:tc>
          <w:tcPr>
            <w:tcW w:w="2872"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按照评估确定的轻、中、重照料等级，分别给予每人每月</w:t>
            </w:r>
            <w:r>
              <w:rPr>
                <w:rFonts w:eastAsia="仿宋_GB2312"/>
                <w:sz w:val="24"/>
              </w:rPr>
              <w:t>200</w:t>
            </w:r>
            <w:r>
              <w:rPr>
                <w:rFonts w:eastAsia="仿宋_GB2312" w:hint="eastAsia"/>
                <w:sz w:val="24"/>
              </w:rPr>
              <w:t>元、</w:t>
            </w:r>
            <w:r>
              <w:rPr>
                <w:rFonts w:eastAsia="仿宋_GB2312"/>
                <w:sz w:val="24"/>
              </w:rPr>
              <w:t>400</w:t>
            </w:r>
            <w:r>
              <w:rPr>
                <w:rFonts w:eastAsia="仿宋_GB2312" w:hint="eastAsia"/>
                <w:sz w:val="24"/>
              </w:rPr>
              <w:t>元、</w:t>
            </w:r>
            <w:r>
              <w:rPr>
                <w:rFonts w:eastAsia="仿宋_GB2312"/>
                <w:sz w:val="24"/>
              </w:rPr>
              <w:t>600</w:t>
            </w:r>
            <w:r>
              <w:rPr>
                <w:rFonts w:eastAsia="仿宋_GB2312" w:hint="eastAsia"/>
                <w:sz w:val="24"/>
              </w:rPr>
              <w:t>元的居家养老服务（护理）补贴。</w:t>
            </w:r>
          </w:p>
        </w:tc>
        <w:tc>
          <w:tcPr>
            <w:tcW w:w="1471"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市、区财政按照</w:t>
            </w:r>
            <w:r>
              <w:rPr>
                <w:rFonts w:eastAsia="仿宋_GB2312"/>
                <w:sz w:val="24"/>
              </w:rPr>
              <w:t>1</w:t>
            </w:r>
            <w:r>
              <w:rPr>
                <w:rFonts w:ascii="仿宋_GB2312" w:eastAsia="仿宋_GB2312" w:hAnsi="仿宋_GB2312" w:cs="仿宋_GB2312" w:hint="eastAsia"/>
                <w:sz w:val="24"/>
              </w:rPr>
              <w:t>∶</w:t>
            </w:r>
            <w:r>
              <w:rPr>
                <w:rFonts w:eastAsia="仿宋_GB2312"/>
                <w:sz w:val="24"/>
              </w:rPr>
              <w:t>1</w:t>
            </w:r>
            <w:r>
              <w:rPr>
                <w:rFonts w:eastAsia="仿宋_GB2312" w:hint="eastAsia"/>
                <w:sz w:val="24"/>
              </w:rPr>
              <w:t>比例分担。</w:t>
            </w:r>
          </w:p>
        </w:tc>
        <w:tc>
          <w:tcPr>
            <w:tcW w:w="1153"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目标人群覆盖率</w:t>
            </w:r>
            <w:r>
              <w:rPr>
                <w:rFonts w:eastAsia="仿宋_GB2312"/>
                <w:sz w:val="24"/>
              </w:rPr>
              <w:t>100%</w:t>
            </w:r>
          </w:p>
        </w:tc>
      </w:tr>
      <w:tr w:rsidR="002C2F4D">
        <w:trPr>
          <w:cantSplit/>
          <w:trHeight w:val="567"/>
          <w:jc w:val="center"/>
        </w:trPr>
        <w:tc>
          <w:tcPr>
            <w:tcW w:w="1179"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老年人助餐服务</w:t>
            </w:r>
          </w:p>
        </w:tc>
        <w:tc>
          <w:tcPr>
            <w:tcW w:w="2834" w:type="dxa"/>
            <w:shd w:val="clear" w:color="000000" w:fill="auto"/>
            <w:vAlign w:val="center"/>
          </w:tcPr>
          <w:p w:rsidR="002C2F4D" w:rsidRDefault="00061D81">
            <w:pPr>
              <w:adjustRightInd w:val="0"/>
              <w:snapToGrid w:val="0"/>
              <w:rPr>
                <w:rFonts w:eastAsia="仿宋_GB2312"/>
                <w:sz w:val="24"/>
              </w:rPr>
            </w:pPr>
            <w:r>
              <w:rPr>
                <w:rFonts w:eastAsia="仿宋_GB2312"/>
                <w:sz w:val="24"/>
              </w:rPr>
              <w:t>本市户籍</w:t>
            </w:r>
            <w:r>
              <w:rPr>
                <w:rFonts w:eastAsia="仿宋_GB2312"/>
                <w:sz w:val="24"/>
              </w:rPr>
              <w:t>80</w:t>
            </w:r>
            <w:r>
              <w:rPr>
                <w:rFonts w:eastAsia="仿宋_GB2312" w:hint="eastAsia"/>
                <w:sz w:val="24"/>
              </w:rPr>
              <w:t>岁以上的老年人；</w:t>
            </w:r>
            <w:r>
              <w:rPr>
                <w:rFonts w:eastAsia="仿宋_GB2312"/>
                <w:sz w:val="24"/>
              </w:rPr>
              <w:t>本市户籍</w:t>
            </w:r>
            <w:r>
              <w:rPr>
                <w:rFonts w:eastAsia="仿宋_GB2312"/>
                <w:sz w:val="24"/>
              </w:rPr>
              <w:t>60</w:t>
            </w:r>
            <w:r>
              <w:rPr>
                <w:rFonts w:eastAsia="仿宋_GB2312" w:hint="eastAsia"/>
                <w:sz w:val="24"/>
              </w:rPr>
              <w:t>岁以上低保、低收入且照料等级为重度的老年人（不含入住养老机构老年人）</w:t>
            </w:r>
          </w:p>
        </w:tc>
        <w:tc>
          <w:tcPr>
            <w:tcW w:w="2872"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老年人在自愿申请的前提下给予每餐</w:t>
            </w:r>
            <w:r>
              <w:rPr>
                <w:rFonts w:eastAsia="仿宋_GB2312"/>
                <w:sz w:val="24"/>
              </w:rPr>
              <w:t>3</w:t>
            </w:r>
            <w:r>
              <w:rPr>
                <w:rFonts w:eastAsia="仿宋_GB2312" w:hint="eastAsia"/>
                <w:sz w:val="24"/>
              </w:rPr>
              <w:t>元（每天午餐</w:t>
            </w:r>
            <w:r>
              <w:rPr>
                <w:rFonts w:eastAsia="仿宋_GB2312"/>
                <w:sz w:val="24"/>
              </w:rPr>
              <w:t>1</w:t>
            </w:r>
            <w:r>
              <w:rPr>
                <w:rFonts w:eastAsia="仿宋_GB2312" w:hint="eastAsia"/>
                <w:sz w:val="24"/>
              </w:rPr>
              <w:t>次，每周</w:t>
            </w:r>
            <w:r>
              <w:rPr>
                <w:rFonts w:eastAsia="仿宋_GB2312"/>
                <w:sz w:val="24"/>
              </w:rPr>
              <w:t>5</w:t>
            </w:r>
            <w:r>
              <w:rPr>
                <w:rFonts w:eastAsia="仿宋_GB2312" w:hint="eastAsia"/>
                <w:sz w:val="24"/>
              </w:rPr>
              <w:t>天）的助餐补贴，以助餐价格优惠的方式体现；同时给予老人家食堂</w:t>
            </w:r>
            <w:r>
              <w:rPr>
                <w:rFonts w:eastAsia="仿宋_GB2312"/>
                <w:sz w:val="24"/>
              </w:rPr>
              <w:t>2</w:t>
            </w:r>
            <w:r>
              <w:rPr>
                <w:rFonts w:eastAsia="仿宋_GB2312" w:hint="eastAsia"/>
                <w:sz w:val="24"/>
              </w:rPr>
              <w:t>元的运营补贴。</w:t>
            </w:r>
          </w:p>
        </w:tc>
        <w:tc>
          <w:tcPr>
            <w:tcW w:w="1471"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市、区财政按照</w:t>
            </w:r>
            <w:r>
              <w:rPr>
                <w:rFonts w:eastAsia="仿宋_GB2312"/>
                <w:sz w:val="24"/>
              </w:rPr>
              <w:t>4</w:t>
            </w:r>
            <w:r>
              <w:rPr>
                <w:rFonts w:ascii="仿宋_GB2312" w:eastAsia="仿宋_GB2312" w:hAnsi="仿宋_GB2312" w:cs="仿宋_GB2312" w:hint="eastAsia"/>
                <w:sz w:val="24"/>
              </w:rPr>
              <w:t>∶</w:t>
            </w:r>
            <w:r>
              <w:rPr>
                <w:rFonts w:eastAsia="仿宋_GB2312"/>
                <w:sz w:val="24"/>
              </w:rPr>
              <w:t>6</w:t>
            </w:r>
            <w:r>
              <w:rPr>
                <w:rFonts w:eastAsia="仿宋_GB2312" w:hint="eastAsia"/>
                <w:sz w:val="24"/>
              </w:rPr>
              <w:t>比例分担。</w:t>
            </w:r>
          </w:p>
        </w:tc>
        <w:tc>
          <w:tcPr>
            <w:tcW w:w="1153"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目标人群覆盖率</w:t>
            </w:r>
            <w:r>
              <w:rPr>
                <w:rFonts w:eastAsia="仿宋_GB2312"/>
                <w:sz w:val="24"/>
              </w:rPr>
              <w:t>100%</w:t>
            </w:r>
          </w:p>
        </w:tc>
      </w:tr>
      <w:tr w:rsidR="002C2F4D">
        <w:trPr>
          <w:cantSplit/>
          <w:trHeight w:val="567"/>
          <w:jc w:val="center"/>
        </w:trPr>
        <w:tc>
          <w:tcPr>
            <w:tcW w:w="1179"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老年人福利补贴</w:t>
            </w:r>
          </w:p>
        </w:tc>
        <w:tc>
          <w:tcPr>
            <w:tcW w:w="2834"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本市户籍，年满</w:t>
            </w:r>
            <w:r>
              <w:rPr>
                <w:rFonts w:eastAsia="仿宋_GB2312" w:hint="eastAsia"/>
                <w:sz w:val="24"/>
              </w:rPr>
              <w:t>100</w:t>
            </w:r>
            <w:r>
              <w:rPr>
                <w:rFonts w:eastAsia="仿宋_GB2312" w:hint="eastAsia"/>
                <w:sz w:val="24"/>
              </w:rPr>
              <w:t>周岁的老年人</w:t>
            </w:r>
          </w:p>
        </w:tc>
        <w:tc>
          <w:tcPr>
            <w:tcW w:w="2872"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每人每月</w:t>
            </w:r>
            <w:r>
              <w:rPr>
                <w:rFonts w:eastAsia="仿宋_GB2312" w:hint="eastAsia"/>
                <w:sz w:val="24"/>
              </w:rPr>
              <w:t>500</w:t>
            </w:r>
            <w:r>
              <w:rPr>
                <w:rFonts w:eastAsia="仿宋_GB2312" w:hint="eastAsia"/>
                <w:sz w:val="24"/>
              </w:rPr>
              <w:t>元。</w:t>
            </w:r>
          </w:p>
        </w:tc>
        <w:tc>
          <w:tcPr>
            <w:tcW w:w="1471"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各区财政负</w:t>
            </w:r>
            <w:r>
              <w:rPr>
                <w:rFonts w:eastAsia="仿宋_GB2312" w:hint="eastAsia"/>
                <w:spacing w:val="-4"/>
                <w:sz w:val="24"/>
              </w:rPr>
              <w:t>担，市财政给予</w:t>
            </w:r>
            <w:r>
              <w:rPr>
                <w:rFonts w:eastAsia="仿宋_GB2312" w:hint="eastAsia"/>
                <w:spacing w:val="-4"/>
                <w:sz w:val="24"/>
              </w:rPr>
              <w:t>40%</w:t>
            </w:r>
            <w:r>
              <w:rPr>
                <w:rFonts w:eastAsia="仿宋_GB2312" w:hint="eastAsia"/>
                <w:spacing w:val="-4"/>
                <w:sz w:val="24"/>
              </w:rPr>
              <w:t>转移支付补助。</w:t>
            </w:r>
          </w:p>
        </w:tc>
        <w:tc>
          <w:tcPr>
            <w:tcW w:w="1153" w:type="dxa"/>
            <w:shd w:val="clear" w:color="000000" w:fill="auto"/>
            <w:vAlign w:val="center"/>
          </w:tcPr>
          <w:p w:rsidR="002C2F4D" w:rsidRDefault="00061D81">
            <w:pPr>
              <w:adjustRightInd w:val="0"/>
              <w:snapToGrid w:val="0"/>
              <w:rPr>
                <w:rFonts w:eastAsia="仿宋_GB2312"/>
                <w:sz w:val="24"/>
              </w:rPr>
            </w:pPr>
            <w:r>
              <w:rPr>
                <w:rFonts w:eastAsia="仿宋_GB2312" w:hint="eastAsia"/>
                <w:sz w:val="24"/>
              </w:rPr>
              <w:t>目标人群覆盖率</w:t>
            </w:r>
            <w:r>
              <w:rPr>
                <w:rFonts w:eastAsia="仿宋_GB2312"/>
                <w:sz w:val="24"/>
              </w:rPr>
              <w:t>100%</w:t>
            </w:r>
          </w:p>
        </w:tc>
      </w:tr>
      <w:tr w:rsidR="002C2F4D">
        <w:trPr>
          <w:cantSplit/>
          <w:trHeight w:val="567"/>
          <w:jc w:val="center"/>
        </w:trPr>
        <w:tc>
          <w:tcPr>
            <w:tcW w:w="9509" w:type="dxa"/>
            <w:gridSpan w:val="5"/>
            <w:shd w:val="clear" w:color="000000" w:fill="auto"/>
            <w:vAlign w:val="center"/>
          </w:tcPr>
          <w:p w:rsidR="002C2F4D" w:rsidRDefault="00061D81">
            <w:pPr>
              <w:adjustRightInd w:val="0"/>
              <w:snapToGrid w:val="0"/>
              <w:rPr>
                <w:rFonts w:eastAsia="楷体_GB2312"/>
                <w:kern w:val="0"/>
                <w:sz w:val="24"/>
              </w:rPr>
            </w:pPr>
            <w:r>
              <w:rPr>
                <w:rFonts w:eastAsia="楷体_GB2312" w:hint="eastAsia"/>
                <w:kern w:val="0"/>
                <w:sz w:val="24"/>
              </w:rPr>
              <w:t>公共事务服务</w:t>
            </w:r>
          </w:p>
        </w:tc>
      </w:tr>
      <w:tr w:rsidR="002C2F4D">
        <w:trPr>
          <w:trHeight w:val="567"/>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无丧葬补助居民丧葬补贴</w:t>
            </w:r>
          </w:p>
        </w:tc>
        <w:tc>
          <w:tcPr>
            <w:tcW w:w="2834"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具有本市户籍，但不享受丧葬补助待遇的城乡居民</w:t>
            </w:r>
          </w:p>
        </w:tc>
        <w:tc>
          <w:tcPr>
            <w:tcW w:w="2872"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每人</w:t>
            </w:r>
            <w:r>
              <w:rPr>
                <w:rFonts w:eastAsia="仿宋_GB2312"/>
                <w:sz w:val="24"/>
              </w:rPr>
              <w:t>1800</w:t>
            </w:r>
            <w:r>
              <w:rPr>
                <w:rFonts w:eastAsia="仿宋_GB2312" w:hint="eastAsia"/>
                <w:sz w:val="24"/>
              </w:rPr>
              <w:t>元。</w:t>
            </w:r>
          </w:p>
        </w:tc>
        <w:tc>
          <w:tcPr>
            <w:tcW w:w="1471"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由市、区财政部门纳入财政预算，按照</w:t>
            </w:r>
            <w:r>
              <w:rPr>
                <w:rFonts w:eastAsia="仿宋_GB2312"/>
                <w:sz w:val="24"/>
              </w:rPr>
              <w:t>6</w:t>
            </w:r>
            <w:r>
              <w:rPr>
                <w:rFonts w:ascii="仿宋_GB2312" w:eastAsia="仿宋_GB2312" w:hAnsi="仿宋_GB2312" w:cs="仿宋_GB2312" w:hint="eastAsia"/>
                <w:sz w:val="24"/>
              </w:rPr>
              <w:t>∶</w:t>
            </w:r>
            <w:r>
              <w:rPr>
                <w:rFonts w:eastAsia="仿宋_GB2312"/>
                <w:sz w:val="24"/>
              </w:rPr>
              <w:t>4</w:t>
            </w:r>
            <w:r>
              <w:rPr>
                <w:rFonts w:eastAsia="仿宋_GB2312" w:hint="eastAsia"/>
                <w:sz w:val="24"/>
              </w:rPr>
              <w:t>比例分担。</w:t>
            </w:r>
          </w:p>
        </w:tc>
        <w:tc>
          <w:tcPr>
            <w:tcW w:w="1153"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目标人群覆盖率</w:t>
            </w:r>
            <w:r>
              <w:rPr>
                <w:rFonts w:eastAsia="仿宋_GB2312"/>
                <w:sz w:val="24"/>
              </w:rPr>
              <w:t>100%</w:t>
            </w:r>
          </w:p>
        </w:tc>
      </w:tr>
      <w:tr w:rsidR="002C2F4D">
        <w:trPr>
          <w:cantSplit/>
          <w:trHeight w:val="567"/>
          <w:jc w:val="center"/>
        </w:trPr>
        <w:tc>
          <w:tcPr>
            <w:tcW w:w="1179" w:type="dxa"/>
            <w:shd w:val="clear" w:color="000000" w:fill="auto"/>
            <w:vAlign w:val="center"/>
          </w:tcPr>
          <w:p w:rsidR="002C2F4D" w:rsidRDefault="00061D81">
            <w:pPr>
              <w:adjustRightInd w:val="0"/>
              <w:snapToGrid w:val="0"/>
              <w:rPr>
                <w:rFonts w:eastAsia="仿宋_GB2312"/>
                <w:kern w:val="0"/>
                <w:sz w:val="24"/>
              </w:rPr>
            </w:pPr>
            <w:r>
              <w:rPr>
                <w:rFonts w:eastAsia="仿宋_GB2312" w:hint="eastAsia"/>
                <w:sz w:val="24"/>
              </w:rPr>
              <w:t>节地生态安葬奖补</w:t>
            </w:r>
          </w:p>
        </w:tc>
        <w:tc>
          <w:tcPr>
            <w:tcW w:w="2834"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安葬逝者具有本市户籍，</w:t>
            </w:r>
            <w:r>
              <w:rPr>
                <w:rFonts w:eastAsia="仿宋_GB2312"/>
                <w:sz w:val="24"/>
              </w:rPr>
              <w:t>2020</w:t>
            </w:r>
            <w:r>
              <w:rPr>
                <w:rFonts w:eastAsia="仿宋_GB2312" w:hint="eastAsia"/>
                <w:sz w:val="24"/>
              </w:rPr>
              <w:t>年</w:t>
            </w:r>
            <w:r>
              <w:rPr>
                <w:rFonts w:eastAsia="仿宋_GB2312"/>
                <w:sz w:val="24"/>
              </w:rPr>
              <w:t>1</w:t>
            </w:r>
            <w:r>
              <w:rPr>
                <w:rFonts w:eastAsia="仿宋_GB2312" w:hint="eastAsia"/>
                <w:sz w:val="24"/>
              </w:rPr>
              <w:t>月</w:t>
            </w:r>
            <w:r>
              <w:rPr>
                <w:rFonts w:eastAsia="仿宋_GB2312"/>
                <w:sz w:val="24"/>
              </w:rPr>
              <w:t>1</w:t>
            </w:r>
            <w:r>
              <w:rPr>
                <w:rFonts w:eastAsia="仿宋_GB2312" w:hint="eastAsia"/>
                <w:sz w:val="24"/>
              </w:rPr>
              <w:t>日后申请办理节地生态安葬的</w:t>
            </w:r>
          </w:p>
        </w:tc>
        <w:tc>
          <w:tcPr>
            <w:tcW w:w="2872"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1.</w:t>
            </w:r>
            <w:r>
              <w:rPr>
                <w:rFonts w:eastAsia="仿宋_GB2312" w:hint="eastAsia"/>
                <w:sz w:val="24"/>
              </w:rPr>
              <w:t>奖励标准：符合条件的服务对象奖励标准为每具骨灰</w:t>
            </w:r>
            <w:r>
              <w:rPr>
                <w:rFonts w:eastAsia="仿宋_GB2312" w:hint="eastAsia"/>
                <w:sz w:val="24"/>
              </w:rPr>
              <w:t>1000</w:t>
            </w:r>
            <w:r>
              <w:rPr>
                <w:rFonts w:eastAsia="仿宋_GB2312" w:hint="eastAsia"/>
                <w:sz w:val="24"/>
              </w:rPr>
              <w:t>元；</w:t>
            </w:r>
          </w:p>
          <w:p w:rsidR="002C2F4D" w:rsidRDefault="00061D81">
            <w:pPr>
              <w:adjustRightInd w:val="0"/>
              <w:snapToGrid w:val="0"/>
              <w:textAlignment w:val="center"/>
              <w:rPr>
                <w:rFonts w:eastAsia="仿宋_GB2312"/>
                <w:sz w:val="24"/>
              </w:rPr>
            </w:pPr>
            <w:r>
              <w:rPr>
                <w:rFonts w:eastAsia="仿宋_GB2312" w:hint="eastAsia"/>
                <w:sz w:val="24"/>
              </w:rPr>
              <w:t>2.</w:t>
            </w:r>
            <w:r>
              <w:rPr>
                <w:rFonts w:eastAsia="仿宋_GB2312" w:hint="eastAsia"/>
                <w:sz w:val="24"/>
              </w:rPr>
              <w:t>补贴标准：符合条件的服务对象且逝者遗体火化</w:t>
            </w:r>
            <w:r>
              <w:rPr>
                <w:rFonts w:eastAsia="仿宋_GB2312" w:hint="eastAsia"/>
                <w:sz w:val="24"/>
              </w:rPr>
              <w:t>60</w:t>
            </w:r>
            <w:r>
              <w:rPr>
                <w:rFonts w:eastAsia="仿宋_GB2312" w:hint="eastAsia"/>
                <w:sz w:val="24"/>
              </w:rPr>
              <w:t>日内直接选择节地生态安葬，基本殡葬服务均由本市具有合法资质的殡葬服务单位提供，基本殡葬服务费用补贴标准为每具骨灰</w:t>
            </w:r>
            <w:r>
              <w:rPr>
                <w:rFonts w:eastAsia="仿宋_GB2312" w:hint="eastAsia"/>
                <w:sz w:val="24"/>
              </w:rPr>
              <w:t>1420</w:t>
            </w:r>
            <w:r>
              <w:rPr>
                <w:rFonts w:eastAsia="仿宋_GB2312" w:hint="eastAsia"/>
                <w:sz w:val="24"/>
              </w:rPr>
              <w:t>元。</w:t>
            </w:r>
          </w:p>
        </w:tc>
        <w:tc>
          <w:tcPr>
            <w:tcW w:w="1471"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市财政负担。</w:t>
            </w:r>
          </w:p>
        </w:tc>
        <w:tc>
          <w:tcPr>
            <w:tcW w:w="1153" w:type="dxa"/>
            <w:shd w:val="clear" w:color="000000" w:fill="auto"/>
            <w:vAlign w:val="center"/>
          </w:tcPr>
          <w:p w:rsidR="002C2F4D" w:rsidRDefault="00061D81">
            <w:pPr>
              <w:adjustRightInd w:val="0"/>
              <w:snapToGrid w:val="0"/>
              <w:textAlignment w:val="center"/>
              <w:rPr>
                <w:rFonts w:eastAsia="仿宋_GB2312"/>
                <w:sz w:val="24"/>
              </w:rPr>
            </w:pPr>
            <w:r>
              <w:rPr>
                <w:rFonts w:eastAsia="仿宋_GB2312" w:hint="eastAsia"/>
                <w:sz w:val="24"/>
              </w:rPr>
              <w:t>目标人群覆盖率</w:t>
            </w:r>
            <w:r>
              <w:rPr>
                <w:rFonts w:eastAsia="仿宋_GB2312"/>
                <w:sz w:val="24"/>
              </w:rPr>
              <w:t>100%</w:t>
            </w:r>
          </w:p>
        </w:tc>
      </w:tr>
    </w:tbl>
    <w:p w:rsidR="002C2F4D" w:rsidRDefault="002C2F4D">
      <w:pPr>
        <w:adjustRightInd w:val="0"/>
        <w:jc w:val="center"/>
        <w:outlineLvl w:val="2"/>
        <w:rPr>
          <w:b/>
          <w:bCs/>
          <w:kern w:val="0"/>
          <w:sz w:val="32"/>
          <w:szCs w:val="32"/>
        </w:rPr>
      </w:pPr>
      <w:bookmarkStart w:id="28" w:name="_Toc65837399"/>
    </w:p>
    <w:p w:rsidR="002C2F4D" w:rsidRDefault="00061D81">
      <w:pPr>
        <w:adjustRightInd w:val="0"/>
        <w:jc w:val="center"/>
        <w:outlineLvl w:val="2"/>
        <w:rPr>
          <w:rFonts w:ascii="黑体" w:eastAsia="黑体" w:hAnsi="黑体" w:cs="黑体"/>
          <w:kern w:val="0"/>
          <w:sz w:val="32"/>
          <w:szCs w:val="32"/>
        </w:rPr>
      </w:pPr>
      <w:r>
        <w:rPr>
          <w:rFonts w:ascii="黑体" w:eastAsia="黑体" w:hAnsi="黑体" w:cs="黑体" w:hint="eastAsia"/>
          <w:kern w:val="0"/>
          <w:sz w:val="32"/>
          <w:szCs w:val="32"/>
        </w:rPr>
        <w:t>第三节</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保障工程</w:t>
      </w:r>
      <w:bookmarkEnd w:id="28"/>
    </w:p>
    <w:p w:rsidR="002C2F4D" w:rsidRDefault="002C2F4D">
      <w:pPr>
        <w:adjustRightInd w:val="0"/>
        <w:jc w:val="center"/>
        <w:outlineLvl w:val="2"/>
        <w:rPr>
          <w:b/>
          <w:bCs/>
          <w:kern w:val="0"/>
          <w:sz w:val="32"/>
          <w:szCs w:val="32"/>
        </w:rPr>
      </w:pPr>
    </w:p>
    <w:p w:rsidR="002C2F4D" w:rsidRDefault="00061D81" w:rsidP="00FA6DB5">
      <w:pPr>
        <w:adjustRightInd w:val="0"/>
        <w:ind w:firstLineChars="200" w:firstLine="622"/>
        <w:rPr>
          <w:rFonts w:eastAsia="仿宋_GB2312"/>
          <w:sz w:val="32"/>
          <w:szCs w:val="32"/>
        </w:rPr>
      </w:pPr>
      <w:r>
        <w:rPr>
          <w:rFonts w:ascii="楷体_GB2312" w:eastAsia="楷体_GB2312" w:hAnsi="楷体_GB2312" w:cs="楷体_GB2312" w:hint="eastAsia"/>
          <w:bCs/>
          <w:sz w:val="32"/>
          <w:szCs w:val="32"/>
        </w:rPr>
        <w:t>实施社会救助服务能力提升行动。</w:t>
      </w:r>
      <w:r>
        <w:rPr>
          <w:rFonts w:ascii="仿宋_GB2312" w:eastAsia="仿宋_GB2312" w:hint="eastAsia"/>
          <w:sz w:val="32"/>
          <w:szCs w:val="32"/>
        </w:rPr>
        <w:t>推进社会救助信息化建设，加快实施网上审批和移动端社会救助渠道建设，完善“救急难”服务平台功能，统筹“</w:t>
      </w:r>
      <w:r>
        <w:rPr>
          <w:rFonts w:eastAsia="仿宋_GB2312"/>
          <w:sz w:val="32"/>
          <w:szCs w:val="32"/>
        </w:rPr>
        <w:t>8</w:t>
      </w:r>
      <w:r>
        <w:rPr>
          <w:rFonts w:ascii="仿宋_GB2312" w:eastAsia="仿宋_GB2312" w:hAnsi="仿宋_GB2312" w:cs="仿宋_GB2312" w:hint="eastAsia"/>
          <w:sz w:val="32"/>
          <w:szCs w:val="32"/>
        </w:rPr>
        <w:t>+</w:t>
      </w:r>
      <w:r>
        <w:rPr>
          <w:rFonts w:eastAsia="仿宋_GB2312"/>
          <w:sz w:val="32"/>
          <w:szCs w:val="32"/>
        </w:rPr>
        <w:t>1</w:t>
      </w:r>
      <w:r>
        <w:rPr>
          <w:rFonts w:ascii="仿宋_GB2312" w:eastAsia="仿宋_GB2312" w:hint="eastAsia"/>
          <w:sz w:val="32"/>
          <w:szCs w:val="32"/>
        </w:rPr>
        <w:t>”专项社会救助资源，转介救助信息。加强慈善组织和慈善活动监督管理，完善慈善信托监管机制。推动慈善资源向基层下沉，完善慈善超市基层公益服务功能，打造特色公益服务品牌。围绕“中华慈善日”开展相关活动，推进慈善标志建设，开展慈善文化校园行等活动，宣传先进典型，营造人人慈善为人人的良好社会氛围。</w:t>
      </w:r>
    </w:p>
    <w:p w:rsidR="002C2F4D" w:rsidRDefault="00061D81" w:rsidP="00FA6DB5">
      <w:pPr>
        <w:adjustRightInd w:val="0"/>
        <w:ind w:firstLineChars="200" w:firstLine="622"/>
        <w:rPr>
          <w:rFonts w:ascii="仿宋_GB2312" w:eastAsia="仿宋_GB2312" w:hAnsi="仿宋_GB2312" w:cs="仿宋_GB2312"/>
          <w:kern w:val="0"/>
          <w:sz w:val="32"/>
          <w:szCs w:val="32"/>
        </w:rPr>
      </w:pPr>
      <w:r>
        <w:rPr>
          <w:rFonts w:ascii="楷体_GB2312" w:eastAsia="楷体_GB2312" w:hAnsi="楷体_GB2312" w:cs="楷体_GB2312" w:hint="eastAsia"/>
          <w:sz w:val="32"/>
          <w:szCs w:val="32"/>
        </w:rPr>
        <w:t>实施基层社会治理保障工程。</w:t>
      </w:r>
      <w:r>
        <w:rPr>
          <w:rFonts w:ascii="仿宋_GB2312" w:eastAsia="仿宋_GB2312" w:hAnsi="仿宋_GB2312" w:cs="仿宋_GB2312" w:hint="eastAsia"/>
          <w:bCs/>
          <w:sz w:val="32"/>
          <w:szCs w:val="32"/>
        </w:rPr>
        <w:t>坚持党组织在社区治理中的“轴心作用”，健全完善社区、社会组织、社会工作高效联动的基层治理体系。完善基层群众自治制度，提升社区党群服务中心服务水平，引导居（村）民依法依规参与社区治理。</w:t>
      </w:r>
      <w:r>
        <w:rPr>
          <w:rFonts w:ascii="仿宋_GB2312" w:eastAsia="仿宋_GB2312" w:hint="eastAsia"/>
          <w:sz w:val="32"/>
          <w:szCs w:val="32"/>
        </w:rPr>
        <w:t>夯实社区治理的人才基础，完善社区工作者准入退出、日常管理、教育培训、福利待遇、绩效考核、激励保障等制度。充分发挥全国社区志愿者组织发祥地优势，打造更多志愿服务品牌。</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完善多层次养老服务保障体系。</w:t>
      </w:r>
      <w:r>
        <w:rPr>
          <w:rFonts w:ascii="仿宋_GB2312" w:eastAsia="仿宋_GB2312" w:hAnsi="仿宋_GB2312" w:cs="仿宋_GB2312" w:hint="eastAsia"/>
          <w:kern w:val="0"/>
          <w:sz w:val="32"/>
          <w:szCs w:val="32"/>
        </w:rPr>
        <w:t>落实养老服务设施分区分级规划建设和配套标准，新建住宅小区严格落实配套养老服务设施建设要求。支持各区通过购置、置换、租赁等方式加快补齐老旧</w:t>
      </w:r>
      <w:r>
        <w:rPr>
          <w:rFonts w:ascii="仿宋_GB2312" w:eastAsia="仿宋_GB2312" w:hAnsi="仿宋_GB2312" w:cs="仿宋_GB2312" w:hint="eastAsia"/>
          <w:kern w:val="0"/>
          <w:sz w:val="32"/>
          <w:szCs w:val="32"/>
        </w:rPr>
        <w:t>小区养老服务设施。支持街道（乡镇）建设具备全托、日托、上门服务等综合功能的养老服务设施。</w:t>
      </w:r>
      <w:r>
        <w:rPr>
          <w:rFonts w:ascii="仿宋_GB2312" w:eastAsia="仿宋_GB2312" w:hint="eastAsia"/>
          <w:sz w:val="32"/>
          <w:szCs w:val="32"/>
        </w:rPr>
        <w:t>推进市级公办养老院改扩建，推动城乡区域特困人员供养服务机构建设。</w:t>
      </w:r>
      <w:r>
        <w:rPr>
          <w:rFonts w:ascii="仿宋_GB2312" w:eastAsia="仿宋_GB2312" w:hAnsi="仿宋_GB2312" w:cs="仿宋_GB2312"/>
          <w:kern w:val="0"/>
          <w:sz w:val="32"/>
          <w:szCs w:val="32"/>
        </w:rPr>
        <w:t>鼓励社会资本兴办居家养老服务机构，探索多种业态和经营模式。调整照料中心与居（村）委会联建模式，</w:t>
      </w:r>
      <w:r>
        <w:rPr>
          <w:rFonts w:ascii="仿宋_GB2312" w:eastAsia="仿宋_GB2312" w:hAnsi="仿宋_GB2312" w:cs="仿宋_GB2312" w:hint="eastAsia"/>
          <w:kern w:val="0"/>
          <w:sz w:val="32"/>
          <w:szCs w:val="32"/>
        </w:rPr>
        <w:t>推动</w:t>
      </w:r>
      <w:r>
        <w:rPr>
          <w:rFonts w:ascii="仿宋_GB2312" w:eastAsia="仿宋_GB2312" w:hAnsi="仿宋_GB2312" w:cs="仿宋_GB2312"/>
          <w:kern w:val="0"/>
          <w:sz w:val="32"/>
          <w:szCs w:val="32"/>
        </w:rPr>
        <w:t>照料中心独立或者划定独立区域物理隔离。</w:t>
      </w:r>
      <w:r>
        <w:rPr>
          <w:rFonts w:ascii="仿宋_GB2312" w:eastAsia="仿宋_GB2312" w:hint="eastAsia"/>
          <w:sz w:val="32"/>
          <w:szCs w:val="32"/>
        </w:rPr>
        <w:t>推进农村特困人员供养服务机构（敬老院）法人登记工作，扩大农村照料中心比例。</w:t>
      </w:r>
      <w:r>
        <w:rPr>
          <w:rFonts w:ascii="仿宋_GB2312" w:eastAsia="仿宋_GB2312" w:hAnsi="仿宋_GB2312" w:cs="仿宋_GB2312" w:hint="eastAsia"/>
          <w:kern w:val="0"/>
          <w:sz w:val="32"/>
          <w:szCs w:val="32"/>
        </w:rPr>
        <w:t>推广“互联网</w:t>
      </w:r>
      <w:r>
        <w:rPr>
          <w:rFonts w:ascii="仿宋_GB2312" w:eastAsia="仿宋_GB2312" w:hAnsi="仿宋_GB2312" w:cs="仿宋_GB2312"/>
          <w:kern w:val="0"/>
          <w:sz w:val="32"/>
          <w:szCs w:val="32"/>
        </w:rPr>
        <w:t>+</w:t>
      </w:r>
      <w:r>
        <w:rPr>
          <w:rFonts w:ascii="仿宋_GB2312" w:eastAsia="仿宋_GB2312" w:hAnsi="仿宋_GB2312" w:cs="仿宋_GB2312"/>
          <w:kern w:val="0"/>
          <w:sz w:val="32"/>
          <w:szCs w:val="32"/>
        </w:rPr>
        <w:t>养老</w:t>
      </w:r>
      <w:r>
        <w:rPr>
          <w:rFonts w:ascii="仿宋_GB2312" w:eastAsia="仿宋_GB2312" w:hAnsi="仿宋_GB2312" w:cs="仿宋_GB2312"/>
          <w:kern w:val="0"/>
          <w:sz w:val="32"/>
          <w:szCs w:val="32"/>
        </w:rPr>
        <w:t>”</w:t>
      </w:r>
      <w:r>
        <w:rPr>
          <w:rFonts w:ascii="仿宋_GB2312" w:eastAsia="仿宋_GB2312" w:hAnsi="仿宋_GB2312" w:cs="仿宋_GB2312"/>
          <w:kern w:val="0"/>
          <w:sz w:val="32"/>
          <w:szCs w:val="32"/>
        </w:rPr>
        <w:t>的智能居家养老模式，推进智慧养老产品家庭化和远程</w:t>
      </w:r>
      <w:r>
        <w:rPr>
          <w:rFonts w:ascii="仿宋_GB2312" w:eastAsia="仿宋_GB2312" w:hint="eastAsia"/>
          <w:sz w:val="32"/>
          <w:szCs w:val="32"/>
        </w:rPr>
        <w:t>医疗发展。探索“物业服务</w:t>
      </w:r>
      <w:r>
        <w:rPr>
          <w:rFonts w:ascii="仿宋_GB2312" w:eastAsia="仿宋_GB2312" w:hint="eastAsia"/>
          <w:sz w:val="32"/>
          <w:szCs w:val="32"/>
        </w:rPr>
        <w:t>+</w:t>
      </w:r>
      <w:r>
        <w:rPr>
          <w:rFonts w:ascii="仿宋_GB2312" w:eastAsia="仿宋_GB2312" w:hint="eastAsia"/>
          <w:sz w:val="32"/>
          <w:szCs w:val="32"/>
        </w:rPr>
        <w:t>养老服务”模式，鼓励有条件的物业服务企业为居家老年人提供</w:t>
      </w:r>
      <w:r>
        <w:rPr>
          <w:rFonts w:ascii="仿宋_GB2312" w:eastAsia="仿宋_GB2312" w:hint="eastAsia"/>
          <w:sz w:val="32"/>
          <w:szCs w:val="32"/>
        </w:rPr>
        <w:t>助餐、助洁、助医、助急、助浴、助行等形式多样的养老服务。继续实施民办养老机构消防安全达标工程。鼓励支持各类护理服务定点机构发展家庭养老床位，统一纳入全市综合责任险投保范围。</w:t>
      </w:r>
    </w:p>
    <w:p w:rsidR="002C2F4D" w:rsidRDefault="00061D81" w:rsidP="00FA6DB5">
      <w:pPr>
        <w:tabs>
          <w:tab w:val="left" w:pos="870"/>
        </w:tabs>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实施儿童福利保护能力提升行动。</w:t>
      </w:r>
      <w:r>
        <w:rPr>
          <w:rFonts w:ascii="仿宋_GB2312" w:eastAsia="仿宋_GB2312" w:hint="eastAsia"/>
          <w:sz w:val="32"/>
          <w:szCs w:val="32"/>
        </w:rPr>
        <w:t>进一步推动各区未成年人救助保护中心建设，完善农村留守儿童和困境儿童关爱服务体系，加强困境儿童动态监测，对困境儿童保障政策落实情况进行及时督查。加强市、区两级儿童福利设施建设，增设儿童养育床位。加强基层关爱人才队伍建设，不断优化初、中、高级孤残儿童护理员梯级专业队伍。组建困境儿童保护专家团队，广泛动员社会力量</w:t>
      </w:r>
      <w:r>
        <w:rPr>
          <w:rFonts w:ascii="仿宋_GB2312" w:eastAsia="仿宋_GB2312" w:hint="eastAsia"/>
          <w:sz w:val="32"/>
          <w:szCs w:val="32"/>
        </w:rPr>
        <w:t>参与儿童权益保障工作。加快基层儿童福利和保护平台建设，在街道（乡镇）、社区（村）配备儿童督导员和儿童主任，实施督导员实名动态登记管理。</w:t>
      </w:r>
    </w:p>
    <w:p w:rsidR="002C2F4D" w:rsidRDefault="00061D81" w:rsidP="00FA6DB5">
      <w:pPr>
        <w:tabs>
          <w:tab w:val="left" w:pos="870"/>
        </w:tabs>
        <w:adjustRightInd w:val="0"/>
        <w:ind w:firstLineChars="200" w:firstLine="622"/>
        <w:rPr>
          <w:rFonts w:ascii="仿宋_GB2312" w:eastAsia="仿宋_GB2312"/>
          <w:bCs/>
          <w:sz w:val="32"/>
          <w:szCs w:val="32"/>
        </w:rPr>
      </w:pPr>
      <w:r>
        <w:rPr>
          <w:rFonts w:ascii="楷体_GB2312" w:eastAsia="楷体_GB2312" w:hAnsi="楷体_GB2312" w:cs="楷体_GB2312" w:hint="eastAsia"/>
          <w:sz w:val="32"/>
          <w:szCs w:val="32"/>
        </w:rPr>
        <w:t>实施智慧民政建设工程。</w:t>
      </w:r>
      <w:r>
        <w:rPr>
          <w:rFonts w:ascii="仿宋_GB2312" w:eastAsia="仿宋_GB2312" w:hint="eastAsia"/>
          <w:bCs/>
          <w:sz w:val="32"/>
          <w:szCs w:val="32"/>
        </w:rPr>
        <w:t>加快互联网与民政工作的深度融合和创新发展，进一步推进民政业务协同、数据共享，形成数据汇聚、系统互通、应用融合的信息化发展格局。运用大数据、人工智能、区块链等新一代信息技术，推进社会救助系统、残疾人两项补贴信息平台、旧楼区信息管理系统升级、婚姻登记联网审查和部门信息共享、联网实时审计试点、殡葬信息服务平台等项目建设，建立民政服务管理信息平台。</w:t>
      </w:r>
    </w:p>
    <w:p w:rsidR="002C2F4D" w:rsidRDefault="002C2F4D" w:rsidP="00FA6DB5">
      <w:pPr>
        <w:tabs>
          <w:tab w:val="left" w:pos="870"/>
        </w:tabs>
        <w:adjustRightInd w:val="0"/>
        <w:ind w:firstLineChars="200" w:firstLine="622"/>
        <w:rPr>
          <w:rFonts w:ascii="仿宋_GB2312" w:eastAsia="仿宋_GB2312"/>
          <w:bCs/>
          <w:sz w:val="32"/>
          <w:szCs w:val="32"/>
        </w:rPr>
      </w:pPr>
    </w:p>
    <w:p w:rsidR="002C2F4D" w:rsidRDefault="00061D81">
      <w:pPr>
        <w:adjustRightInd w:val="0"/>
        <w:jc w:val="center"/>
        <w:outlineLvl w:val="0"/>
        <w:rPr>
          <w:rFonts w:ascii="方正小标宋_GBK" w:eastAsia="方正小标宋_GBK" w:hAnsi="方正小标宋_GBK" w:cs="方正小标宋_GBK"/>
          <w:bCs/>
          <w:kern w:val="0"/>
          <w:sz w:val="32"/>
          <w:szCs w:val="32"/>
        </w:rPr>
      </w:pPr>
      <w:bookmarkStart w:id="29" w:name="_Toc450226562"/>
      <w:bookmarkStart w:id="30" w:name="_Toc65837400"/>
      <w:bookmarkStart w:id="31" w:name="_Toc450226574"/>
      <w:bookmarkStart w:id="32" w:name="_Toc425492281"/>
      <w:bookmarkStart w:id="33" w:name="_Toc32270"/>
      <w:bookmarkStart w:id="34" w:name="_Toc421352965"/>
      <w:bookmarkEnd w:id="15"/>
      <w:bookmarkEnd w:id="16"/>
      <w:bookmarkEnd w:id="17"/>
      <w:r>
        <w:rPr>
          <w:rFonts w:ascii="方正小标宋_GBK" w:eastAsia="方正小标宋_GBK" w:hAnsi="方正小标宋_GBK" w:cs="方正小标宋_GBK" w:hint="eastAsia"/>
          <w:bCs/>
          <w:kern w:val="0"/>
          <w:sz w:val="32"/>
          <w:szCs w:val="32"/>
        </w:rPr>
        <w:t>第六章</w:t>
      </w:r>
      <w:r>
        <w:rPr>
          <w:rFonts w:ascii="方正小标宋_GBK" w:eastAsia="方正小标宋_GBK" w:hAnsi="方正小标宋_GBK" w:cs="方正小标宋_GBK" w:hint="eastAsia"/>
          <w:bCs/>
          <w:kern w:val="0"/>
          <w:sz w:val="32"/>
          <w:szCs w:val="32"/>
        </w:rPr>
        <w:t xml:space="preserve"> </w:t>
      </w:r>
      <w:r>
        <w:rPr>
          <w:rFonts w:ascii="方正小标宋_GBK" w:eastAsia="方正小标宋_GBK" w:hAnsi="方正小标宋_GBK" w:cs="方正小标宋_GBK" w:hint="eastAsia"/>
          <w:bCs/>
          <w:kern w:val="0"/>
          <w:sz w:val="32"/>
          <w:szCs w:val="32"/>
        </w:rPr>
        <w:t xml:space="preserve"> </w:t>
      </w:r>
      <w:r>
        <w:rPr>
          <w:rFonts w:ascii="方正小标宋_GBK" w:eastAsia="方正小标宋_GBK" w:hAnsi="方正小标宋_GBK" w:cs="方正小标宋_GBK" w:hint="eastAsia"/>
          <w:bCs/>
          <w:kern w:val="0"/>
          <w:sz w:val="32"/>
          <w:szCs w:val="32"/>
        </w:rPr>
        <w:t>基本</w:t>
      </w:r>
      <w:bookmarkEnd w:id="29"/>
      <w:r>
        <w:rPr>
          <w:rFonts w:ascii="方正小标宋_GBK" w:eastAsia="方正小标宋_GBK" w:hAnsi="方正小标宋_GBK" w:cs="方正小标宋_GBK" w:hint="eastAsia"/>
          <w:bCs/>
          <w:kern w:val="0"/>
          <w:sz w:val="32"/>
          <w:szCs w:val="32"/>
        </w:rPr>
        <w:t>健康服务</w:t>
      </w:r>
      <w:bookmarkEnd w:id="30"/>
    </w:p>
    <w:p w:rsidR="002C2F4D" w:rsidRDefault="002C2F4D">
      <w:pPr>
        <w:pStyle w:val="3"/>
        <w:keepNext w:val="0"/>
        <w:keepLines w:val="0"/>
        <w:adjustRightInd w:val="0"/>
        <w:spacing w:before="0" w:after="0" w:line="240" w:lineRule="auto"/>
        <w:jc w:val="center"/>
      </w:pPr>
      <w:bookmarkStart w:id="35" w:name="_Toc429658222"/>
      <w:bookmarkStart w:id="36" w:name="_Toc65837401"/>
      <w:bookmarkStart w:id="37" w:name="_Toc7661"/>
      <w:bookmarkStart w:id="38" w:name="_Toc450226563"/>
      <w:bookmarkStart w:id="39" w:name="_Toc425492274"/>
    </w:p>
    <w:p w:rsidR="002C2F4D" w:rsidRDefault="00061D81">
      <w:pPr>
        <w:pStyle w:val="3"/>
        <w:keepNext w:val="0"/>
        <w:keepLines w:val="0"/>
        <w:adjustRightInd w:val="0"/>
        <w:spacing w:before="0" w:after="0" w:line="240" w:lineRule="auto"/>
        <w:jc w:val="center"/>
        <w:rPr>
          <w:rFonts w:ascii="黑体" w:eastAsia="黑体" w:hAnsi="黑体" w:cs="黑体"/>
          <w:b w:val="0"/>
          <w:bCs w:val="0"/>
        </w:rPr>
      </w:pPr>
      <w:r>
        <w:rPr>
          <w:rFonts w:ascii="黑体" w:eastAsia="黑体" w:hAnsi="黑体" w:cs="黑体" w:hint="eastAsia"/>
          <w:b w:val="0"/>
          <w:bCs w:val="0"/>
        </w:rPr>
        <w:t>第一节</w:t>
      </w:r>
      <w:r>
        <w:rPr>
          <w:rFonts w:ascii="黑体" w:eastAsia="黑体" w:hAnsi="黑体" w:cs="黑体" w:hint="eastAsia"/>
          <w:b w:val="0"/>
          <w:bCs w:val="0"/>
        </w:rPr>
        <w:t xml:space="preserve"> </w:t>
      </w:r>
      <w:r>
        <w:rPr>
          <w:rFonts w:ascii="黑体" w:eastAsia="黑体" w:hAnsi="黑体" w:cs="黑体"/>
          <w:b w:val="0"/>
          <w:bCs w:val="0"/>
        </w:rPr>
        <w:t xml:space="preserve"> </w:t>
      </w:r>
      <w:r>
        <w:rPr>
          <w:rFonts w:ascii="黑体" w:eastAsia="黑体" w:hAnsi="黑体" w:cs="黑体" w:hint="eastAsia"/>
          <w:b w:val="0"/>
          <w:bCs w:val="0"/>
        </w:rPr>
        <w:t>重点任务</w:t>
      </w:r>
      <w:bookmarkEnd w:id="35"/>
      <w:bookmarkEnd w:id="36"/>
      <w:bookmarkEnd w:id="37"/>
      <w:bookmarkEnd w:id="38"/>
      <w:bookmarkEnd w:id="39"/>
    </w:p>
    <w:p w:rsidR="002C2F4D" w:rsidRDefault="002C2F4D" w:rsidP="00FA6DB5">
      <w:pPr>
        <w:adjustRightInd w:val="0"/>
        <w:ind w:firstLineChars="200" w:firstLine="625"/>
        <w:rPr>
          <w:rFonts w:ascii="仿宋_GB2312" w:eastAsia="仿宋_GB2312" w:hAnsi="仿宋" w:cs="仿宋"/>
          <w:b/>
          <w:bCs/>
          <w:sz w:val="32"/>
          <w:szCs w:val="32"/>
        </w:rPr>
      </w:pP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sz w:val="32"/>
          <w:szCs w:val="32"/>
        </w:rPr>
        <w:t>全方位提升人民健康水平。</w:t>
      </w:r>
      <w:r>
        <w:rPr>
          <w:rFonts w:ascii="仿宋_GB2312" w:eastAsia="仿宋_GB2312" w:hAnsi="宋体" w:cs="宋体" w:hint="eastAsia"/>
          <w:kern w:val="0"/>
          <w:sz w:val="32"/>
          <w:szCs w:val="32"/>
        </w:rPr>
        <w:t>健全各级爱国卫生运动委员会（健康天津行动推进委员会）组织体系和爱国卫生工作网络，规范议事协调机制。深入推进各类卫生创建工作，加快国家卫生区镇、市级卫生村创建进度，实现国家卫生区镇全覆盖，市级卫生村比例达到</w:t>
      </w:r>
      <w:r>
        <w:rPr>
          <w:rFonts w:eastAsia="仿宋_GB2312"/>
          <w:kern w:val="0"/>
          <w:sz w:val="32"/>
          <w:szCs w:val="32"/>
        </w:rPr>
        <w:t>85%</w:t>
      </w:r>
      <w:r>
        <w:rPr>
          <w:rFonts w:ascii="仿宋_GB2312" w:eastAsia="仿宋_GB2312" w:hAnsi="宋体" w:cs="宋体"/>
          <w:kern w:val="0"/>
          <w:sz w:val="32"/>
          <w:szCs w:val="32"/>
        </w:rPr>
        <w:t>以上。提升环境健康监测能力，</w:t>
      </w:r>
      <w:r>
        <w:rPr>
          <w:rFonts w:ascii="仿宋_GB2312" w:eastAsia="仿宋_GB2312" w:hAnsi="宋体" w:cs="宋体" w:hint="eastAsia"/>
          <w:kern w:val="0"/>
          <w:sz w:val="32"/>
          <w:szCs w:val="32"/>
        </w:rPr>
        <w:t>全面提升饮用水水质监测和突发饮水卫生事件应急处置能力</w:t>
      </w:r>
      <w:r>
        <w:rPr>
          <w:rFonts w:ascii="仿宋_GB2312" w:eastAsia="仿宋_GB2312" w:hAnsi="宋体" w:cs="宋体"/>
          <w:kern w:val="0"/>
          <w:sz w:val="32"/>
          <w:szCs w:val="32"/>
        </w:rPr>
        <w:t>。健全健康教育工作体系，强化健康教育专业队伍建设。开展健康知识普及，倡导健康生活方式，推广文明健康生活习惯。建立健全健康</w:t>
      </w:r>
      <w:r>
        <w:rPr>
          <w:rFonts w:ascii="仿宋_GB2312" w:eastAsia="仿宋_GB2312" w:hAnsi="宋体" w:cs="宋体" w:hint="eastAsia"/>
          <w:kern w:val="0"/>
          <w:sz w:val="32"/>
          <w:szCs w:val="32"/>
        </w:rPr>
        <w:t>天津</w:t>
      </w:r>
      <w:r>
        <w:rPr>
          <w:rFonts w:ascii="仿宋_GB2312" w:eastAsia="仿宋_GB2312" w:hAnsi="宋体" w:cs="宋体"/>
          <w:kern w:val="0"/>
          <w:sz w:val="32"/>
          <w:szCs w:val="32"/>
        </w:rPr>
        <w:t>行动全民参与机制，</w:t>
      </w:r>
      <w:r>
        <w:rPr>
          <w:rFonts w:ascii="仿宋_GB2312" w:eastAsia="仿宋_GB2312" w:hAnsi="宋体" w:cs="宋体" w:hint="eastAsia"/>
          <w:kern w:val="0"/>
          <w:sz w:val="32"/>
          <w:szCs w:val="32"/>
        </w:rPr>
        <w:t>提升</w:t>
      </w:r>
      <w:r>
        <w:rPr>
          <w:rFonts w:ascii="仿宋_GB2312" w:eastAsia="仿宋_GB2312" w:hAnsi="宋体" w:cs="宋体"/>
          <w:kern w:val="0"/>
          <w:sz w:val="32"/>
          <w:szCs w:val="32"/>
        </w:rPr>
        <w:t>全民公共卫生防疫意识。进一步做实做细家庭医生签约服务，</w:t>
      </w:r>
      <w:r>
        <w:rPr>
          <w:rFonts w:eastAsia="仿宋_GB2312" w:hint="eastAsia"/>
          <w:kern w:val="0"/>
          <w:sz w:val="32"/>
          <w:szCs w:val="32"/>
        </w:rPr>
        <w:t>所有</w:t>
      </w:r>
      <w:r>
        <w:rPr>
          <w:rFonts w:ascii="仿宋_GB2312" w:eastAsia="仿宋_GB2312" w:hAnsi="宋体" w:cs="宋体"/>
          <w:kern w:val="0"/>
          <w:sz w:val="32"/>
          <w:szCs w:val="32"/>
        </w:rPr>
        <w:t>家庭医生团队</w:t>
      </w:r>
      <w:r>
        <w:rPr>
          <w:rFonts w:ascii="仿宋_GB2312" w:eastAsia="仿宋_GB2312" w:hAnsi="宋体" w:cs="宋体" w:hint="eastAsia"/>
          <w:kern w:val="0"/>
          <w:sz w:val="32"/>
          <w:szCs w:val="32"/>
        </w:rPr>
        <w:t>均</w:t>
      </w:r>
      <w:r>
        <w:rPr>
          <w:rFonts w:ascii="仿宋_GB2312" w:eastAsia="仿宋_GB2312" w:hAnsi="宋体" w:cs="宋体"/>
          <w:kern w:val="0"/>
          <w:sz w:val="32"/>
          <w:szCs w:val="32"/>
        </w:rPr>
        <w:t>能够提供中医治未病服务。</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sz w:val="32"/>
          <w:szCs w:val="32"/>
        </w:rPr>
        <w:t>构建高效的公共卫生体系。</w:t>
      </w:r>
      <w:r>
        <w:rPr>
          <w:rFonts w:ascii="仿宋_GB2312" w:eastAsia="仿宋_GB2312" w:hAnsi="宋体" w:cs="宋体" w:hint="eastAsia"/>
          <w:kern w:val="0"/>
          <w:sz w:val="32"/>
          <w:szCs w:val="32"/>
        </w:rPr>
        <w:t>完善疾病预防控制管理机制，提高流行病学调查和处置能力，加强重大疫情等公共卫生事件应对处置能力建设，强化乡镇卫生院和社区卫生服务中心疾病预防控制职责。强化慢性病筛查和早期发现，完善慢性病发病、死亡病例信息登记和监测体系。加强传染病防治机构建设，增强传染病医院防治能力。全力推进艾滋病、结核病等重大传染病遏制行动计划。强化严重精神障碍患者管理和保障体系建设，加强常见精神障碍患者识别管理。加强免</w:t>
      </w:r>
      <w:r>
        <w:rPr>
          <w:rFonts w:ascii="仿宋_GB2312" w:eastAsia="仿宋_GB2312" w:hAnsi="宋体" w:cs="宋体" w:hint="eastAsia"/>
          <w:kern w:val="0"/>
          <w:sz w:val="32"/>
          <w:szCs w:val="32"/>
        </w:rPr>
        <w:t>疫规划接种门诊建设，所有示范接种门诊实现智慧化管理。强化卫生应急管理主体责任，推进医疗机构、疾控机构应急规范化管理。加强监测预警系统建设，不断提升对公共卫生重大风险评估、研判、决策水平，加强基层“哨点”建设，夯实基层防控网底。加快实验室检测网络建设。加强地方病监测，监测范围达到全国先进水平。完善卫生应急物资保障机制，提升储备效能。</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sz w:val="32"/>
          <w:szCs w:val="32"/>
        </w:rPr>
        <w:t>健全系统联动的医疗卫生服务体系。</w:t>
      </w:r>
      <w:r>
        <w:rPr>
          <w:rFonts w:ascii="仿宋_GB2312" w:eastAsia="仿宋_GB2312" w:hAnsi="仿宋" w:cs="仿宋" w:hint="eastAsia"/>
          <w:bCs/>
          <w:sz w:val="32"/>
          <w:szCs w:val="32"/>
        </w:rPr>
        <w:t>强化实施与国家卫生健康委共建，</w:t>
      </w:r>
      <w:r>
        <w:rPr>
          <w:rFonts w:ascii="仿宋_GB2312" w:eastAsia="仿宋_GB2312" w:hAnsi="宋体" w:cs="宋体" w:hint="eastAsia"/>
          <w:kern w:val="0"/>
          <w:sz w:val="32"/>
          <w:szCs w:val="32"/>
        </w:rPr>
        <w:t>加大对委市共建国家区域医疗中心建设单位的支持力度，整合驻津和天津市属高等学校与医院资源。优化全市医疗卫生资源布局，推</w:t>
      </w:r>
      <w:r>
        <w:rPr>
          <w:rFonts w:ascii="仿宋_GB2312" w:eastAsia="仿宋_GB2312" w:hAnsi="宋体" w:cs="宋体" w:hint="eastAsia"/>
          <w:kern w:val="0"/>
          <w:sz w:val="32"/>
          <w:szCs w:val="32"/>
        </w:rPr>
        <w:t>动优质医疗资源扩容下沉、均衡布局。全面推动基层医疗机构标准化建设，发展社区医院，提升门诊医疗服务能力和急诊急救能力建设，加强住院能力建设，提高检验检查服务能力，深入推进基层“国医堂”标准化建设，突出中医药文化特色。提高重点人群健康管理质量，推进基层机构基本医疗和基本公共卫生融合服务。</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sz w:val="32"/>
          <w:szCs w:val="32"/>
        </w:rPr>
        <w:t>推动“津城”、“滨城”优质医疗资源均衡布局。</w:t>
      </w:r>
      <w:r>
        <w:rPr>
          <w:rFonts w:ascii="仿宋_GB2312" w:eastAsia="仿宋_GB2312" w:hAnsi="宋体" w:cs="宋体" w:hint="eastAsia"/>
          <w:kern w:val="0"/>
          <w:sz w:val="32"/>
          <w:szCs w:val="32"/>
        </w:rPr>
        <w:t>推动“滨城”相关医疗机构与国家级优势资源对接，支持开展干细胞临床研究机构及项目备案工作，推进“细胞谷”建设。推动高水平医疗机构向“滨城”倾斜，支持合作共建天津市滨海新区大港医院，推动天津中心妇产科医院滨海院区建设，推进天津市肿瘤医院滨海医院（滨海新区肿瘤医院）建设。支持“津城</w:t>
      </w:r>
      <w:r>
        <w:rPr>
          <w:rFonts w:ascii="仿宋_GB2312" w:eastAsia="仿宋_GB2312" w:hAnsi="仿宋_GB2312" w:cs="仿宋_GB2312" w:hint="eastAsia"/>
          <w:bCs/>
          <w:sz w:val="32"/>
          <w:szCs w:val="32"/>
        </w:rPr>
        <w:t>”</w:t>
      </w:r>
      <w:r>
        <w:rPr>
          <w:rFonts w:ascii="仿宋_GB2312" w:eastAsia="仿宋_GB2312" w:hAnsi="仿宋_GB2312" w:cs="仿宋_GB2312"/>
          <w:bCs/>
          <w:sz w:val="32"/>
          <w:szCs w:val="32"/>
        </w:rPr>
        <w:t>、</w:t>
      </w:r>
      <w:r>
        <w:rPr>
          <w:rFonts w:ascii="仿宋_GB2312" w:eastAsia="仿宋_GB2312" w:hint="eastAsia"/>
          <w:sz w:val="32"/>
          <w:szCs w:val="32"/>
        </w:rPr>
        <w:t>“</w:t>
      </w:r>
      <w:r>
        <w:rPr>
          <w:rFonts w:ascii="仿宋_GB2312" w:eastAsia="仿宋_GB2312" w:hAnsi="宋体" w:cs="宋体" w:hint="eastAsia"/>
          <w:kern w:val="0"/>
          <w:sz w:val="32"/>
          <w:szCs w:val="32"/>
        </w:rPr>
        <w:t>滨城”医疗资源优势互补，积极推进天津市第五中心医院建设市级医学中心，推动天津中医药大学与天津市滨海新区中医医院合作共建。</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sz w:val="32"/>
          <w:szCs w:val="32"/>
        </w:rPr>
        <w:t>加强生命全周期健康服务。</w:t>
      </w:r>
      <w:r>
        <w:rPr>
          <w:rFonts w:ascii="仿宋_GB2312" w:eastAsia="仿宋_GB2312" w:hAnsi="宋体" w:cs="宋体" w:hint="eastAsia"/>
          <w:kern w:val="0"/>
          <w:sz w:val="32"/>
          <w:szCs w:val="32"/>
        </w:rPr>
        <w:t>加强人口变动情况监测，科学研判人口与家庭发展状况及变动态势。落实国家生育政策，完善生</w:t>
      </w:r>
      <w:r>
        <w:rPr>
          <w:rFonts w:ascii="仿宋_GB2312" w:eastAsia="仿宋_GB2312" w:hAnsi="宋体" w:cs="宋体" w:hint="eastAsia"/>
          <w:kern w:val="0"/>
          <w:sz w:val="32"/>
          <w:szCs w:val="32"/>
        </w:rPr>
        <w:t>育服务管理。广泛开展生殖健康科普宣传。继续落实农村部分计划生育家庭奖励扶助和计划生育家庭特别扶助制度。保障母婴安全，控制孕产妇死亡率、婴儿死亡率。合理规划发展托育服务事业，大力推动婴幼儿照护服务，力争</w:t>
      </w:r>
      <w:r>
        <w:rPr>
          <w:rFonts w:ascii="仿宋_GB2312" w:eastAsia="仿宋_GB2312" w:hAnsi="宋体" w:cs="宋体"/>
          <w:kern w:val="0"/>
          <w:sz w:val="32"/>
          <w:szCs w:val="32"/>
        </w:rPr>
        <w:t>每千人口拥有</w:t>
      </w:r>
      <w:r>
        <w:rPr>
          <w:rFonts w:eastAsia="仿宋_GB2312"/>
          <w:kern w:val="0"/>
          <w:sz w:val="32"/>
          <w:szCs w:val="32"/>
        </w:rPr>
        <w:t>3</w:t>
      </w:r>
      <w:r>
        <w:rPr>
          <w:rFonts w:ascii="仿宋_GB2312" w:eastAsia="仿宋_GB2312" w:hAnsi="宋体" w:cs="宋体"/>
          <w:kern w:val="0"/>
          <w:sz w:val="32"/>
          <w:szCs w:val="32"/>
        </w:rPr>
        <w:t>岁以下婴幼儿托位数达到</w:t>
      </w:r>
      <w:r>
        <w:rPr>
          <w:rFonts w:eastAsia="仿宋_GB2312"/>
          <w:kern w:val="0"/>
          <w:sz w:val="32"/>
          <w:szCs w:val="32"/>
        </w:rPr>
        <w:t>4.5</w:t>
      </w:r>
      <w:r>
        <w:rPr>
          <w:rFonts w:ascii="仿宋_GB2312" w:eastAsia="仿宋_GB2312" w:hAnsi="宋体" w:cs="宋体"/>
          <w:kern w:val="0"/>
          <w:sz w:val="32"/>
          <w:szCs w:val="32"/>
        </w:rPr>
        <w:t>个。完善老年医疗资源布局，</w:t>
      </w:r>
      <w:r>
        <w:rPr>
          <w:rFonts w:ascii="仿宋_GB2312" w:eastAsia="仿宋_GB2312" w:hAnsi="宋体" w:cs="宋体" w:hint="eastAsia"/>
          <w:kern w:val="0"/>
          <w:sz w:val="32"/>
          <w:szCs w:val="32"/>
        </w:rPr>
        <w:t>促进健康老龄化。为失能老年人上门开展健康评估和健康服务。</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sz w:val="32"/>
          <w:szCs w:val="32"/>
        </w:rPr>
        <w:t>提升健康服务水平和质量。</w:t>
      </w:r>
      <w:r>
        <w:rPr>
          <w:rFonts w:ascii="仿宋_GB2312" w:eastAsia="仿宋_GB2312" w:hAnsi="宋体" w:cs="宋体" w:hint="eastAsia"/>
          <w:kern w:val="0"/>
          <w:sz w:val="32"/>
          <w:szCs w:val="32"/>
        </w:rPr>
        <w:t>构建质控体系，发挥质量控制作用。切实保障临床用血的基本平衡。全面提升医疗机构诊治能力，加强感染疾病、重症医学、呼吸、麻醉、院内感染防控等重大疫情救治相关专业学科建</w:t>
      </w:r>
      <w:r>
        <w:rPr>
          <w:rFonts w:ascii="仿宋_GB2312" w:eastAsia="仿宋_GB2312" w:hAnsi="宋体" w:cs="宋体" w:hint="eastAsia"/>
          <w:kern w:val="0"/>
          <w:sz w:val="32"/>
          <w:szCs w:val="32"/>
        </w:rPr>
        <w:t>设。依法严厉打击涉医违法犯罪行为，加强行风建设。巩固完善京津冀医疗卫生协同发展机制，推动区域内医疗卫生信息互联互通和人员有序流动。</w:t>
      </w:r>
    </w:p>
    <w:p w:rsidR="002C2F4D" w:rsidRDefault="00061D81" w:rsidP="00FA6DB5">
      <w:pPr>
        <w:adjustRightInd w:val="0"/>
        <w:ind w:firstLineChars="222" w:firstLine="690"/>
        <w:rPr>
          <w:rFonts w:ascii="仿宋_GB2312" w:eastAsia="仿宋_GB2312"/>
          <w:sz w:val="32"/>
          <w:szCs w:val="32"/>
        </w:rPr>
      </w:pPr>
      <w:r>
        <w:rPr>
          <w:rFonts w:ascii="楷体_GB2312" w:eastAsia="楷体_GB2312" w:hAnsi="楷体_GB2312" w:cs="楷体_GB2312" w:hint="eastAsia"/>
          <w:sz w:val="32"/>
          <w:szCs w:val="32"/>
        </w:rPr>
        <w:t>强化卫生监督体系建设。</w:t>
      </w:r>
      <w:r>
        <w:rPr>
          <w:rFonts w:ascii="仿宋_GB2312" w:eastAsia="仿宋_GB2312" w:hint="eastAsia"/>
          <w:sz w:val="32"/>
          <w:szCs w:val="32"/>
        </w:rPr>
        <w:t>持续深入推进卫生监督工作，提升全市卫生监督机构能力水平。建立健全信用评价、诚信档案、随机抽检、分级分类等监督方式，突出重点领域、社会关注以及投诉举报的监督执法力度，加</w:t>
      </w:r>
      <w:r>
        <w:rPr>
          <w:rFonts w:ascii="仿宋_GB2312" w:eastAsia="仿宋_GB2312"/>
          <w:sz w:val="32"/>
          <w:szCs w:val="32"/>
        </w:rPr>
        <w:t>强</w:t>
      </w:r>
      <w:r>
        <w:rPr>
          <w:rFonts w:ascii="仿宋_GB2312" w:eastAsia="仿宋_GB2312" w:hint="eastAsia"/>
          <w:sz w:val="32"/>
          <w:szCs w:val="32"/>
        </w:rPr>
        <w:t>专项整治，依法监督医疗服务执业行为和公共卫生秩序，维护人民群众健康权益。建设统一、专业、高效的卫生监督执法体系，科学设置层级，合理配置人员，提升信息化监督执法水平。加强卫生监督协管服务，推动</w:t>
      </w:r>
      <w:r>
        <w:rPr>
          <w:rFonts w:ascii="仿宋_GB2312" w:eastAsia="仿宋_GB2312" w:hint="eastAsia"/>
          <w:sz w:val="32"/>
          <w:szCs w:val="32"/>
        </w:rPr>
        <w:t>监督网络向基层延伸，加大培训和指导力度，按照国家规范和技术方案要求做好卫生监督协管服务。</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加强食品药品安全监督管理。</w:t>
      </w:r>
      <w:r>
        <w:rPr>
          <w:rFonts w:ascii="仿宋_GB2312" w:eastAsia="仿宋_GB2312" w:hint="eastAsia"/>
          <w:sz w:val="32"/>
          <w:szCs w:val="32"/>
        </w:rPr>
        <w:t>加强食品安全监督管理。完善现代化食品安全治理体系，推动食品安全地方标准建设，严格落实食品生产经营风险分级管理，逐步提高食用农产品和食品抽检量。强化药品监管法规和标准建设，深化药品生命周期风险管控体系，落实药品生产环节“源头”责任、经营环节“中间”责任、使用环节“终端”责任。健全疫苗、血液制品、注射剂、植入性医疗器械等高风险产品上市后安全性再评价机制。加快推进基于云计算、大数据、“互联网</w:t>
      </w:r>
      <w:r>
        <w:rPr>
          <w:rFonts w:ascii="仿宋_GB2312" w:eastAsia="仿宋_GB2312" w:hAnsi="仿宋_GB2312" w:cs="仿宋_GB2312" w:hint="eastAsia"/>
          <w:sz w:val="32"/>
          <w:szCs w:val="32"/>
        </w:rPr>
        <w:t>+</w:t>
      </w:r>
      <w:r>
        <w:rPr>
          <w:rFonts w:ascii="仿宋_GB2312" w:eastAsia="仿宋_GB2312" w:hint="eastAsia"/>
          <w:sz w:val="32"/>
          <w:szCs w:val="32"/>
        </w:rPr>
        <w:t>”等信</w:t>
      </w:r>
      <w:r>
        <w:rPr>
          <w:rFonts w:ascii="仿宋_GB2312" w:eastAsia="仿宋_GB2312" w:hint="eastAsia"/>
          <w:sz w:val="32"/>
          <w:szCs w:val="32"/>
        </w:rPr>
        <w:t>息技术的药品智慧监管，实现药品品种“一品一企一档”管理。</w:t>
      </w:r>
    </w:p>
    <w:p w:rsidR="002C2F4D" w:rsidRDefault="002C2F4D">
      <w:pPr>
        <w:adjustRightInd w:val="0"/>
        <w:rPr>
          <w:rFonts w:ascii="仿宋_GB2312" w:eastAsia="仿宋_GB2312"/>
          <w:sz w:val="32"/>
          <w:szCs w:val="32"/>
        </w:rPr>
      </w:pPr>
    </w:p>
    <w:p w:rsidR="002C2F4D" w:rsidRDefault="00061D81">
      <w:pPr>
        <w:adjustRightInd w:val="0"/>
        <w:jc w:val="center"/>
        <w:outlineLvl w:val="2"/>
        <w:rPr>
          <w:rFonts w:ascii="黑体" w:eastAsia="黑体" w:hAnsi="黑体" w:cs="黑体"/>
          <w:kern w:val="0"/>
          <w:sz w:val="32"/>
          <w:szCs w:val="32"/>
        </w:rPr>
      </w:pPr>
      <w:bookmarkStart w:id="40" w:name="_Toc65837402"/>
      <w:r>
        <w:rPr>
          <w:rFonts w:ascii="黑体" w:eastAsia="黑体" w:hAnsi="黑体" w:cs="黑体" w:hint="eastAsia"/>
          <w:kern w:val="0"/>
          <w:sz w:val="32"/>
          <w:szCs w:val="32"/>
        </w:rPr>
        <w:t>第二节</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基本标准</w:t>
      </w:r>
      <w:bookmarkEnd w:id="40"/>
    </w:p>
    <w:p w:rsidR="002C2F4D" w:rsidRDefault="002C2F4D">
      <w:pPr>
        <w:adjustRightInd w:val="0"/>
        <w:rPr>
          <w:rFonts w:ascii="仿宋_GB2312" w:eastAsia="仿宋_GB2312" w:hAnsi="宋体" w:cs="宋体"/>
          <w:kern w:val="0"/>
          <w:sz w:val="32"/>
          <w:szCs w:val="32"/>
        </w:rPr>
      </w:pPr>
    </w:p>
    <w:p w:rsidR="002C2F4D" w:rsidRDefault="00061D81" w:rsidP="00FA6DB5">
      <w:pPr>
        <w:adjustRightInd w:val="0"/>
        <w:ind w:firstLineChars="200" w:firstLine="622"/>
        <w:rPr>
          <w:rFonts w:ascii="仿宋_GB2312" w:eastAsia="仿宋_GB2312" w:hAnsi="宋体" w:cs="宋体"/>
          <w:kern w:val="0"/>
          <w:sz w:val="32"/>
          <w:szCs w:val="32"/>
        </w:rPr>
      </w:pPr>
      <w:r>
        <w:rPr>
          <w:rFonts w:ascii="仿宋_GB2312" w:eastAsia="仿宋_GB2312" w:hAnsi="宋体" w:cs="宋体" w:hint="eastAsia"/>
          <w:kern w:val="0"/>
          <w:sz w:val="32"/>
          <w:szCs w:val="32"/>
        </w:rPr>
        <w:t>以基本健康服务国家基本标准为基础，结合本市实际情况，制定“十四五”时期天津市基本健康服务基本标准。</w:t>
      </w:r>
    </w:p>
    <w:p w:rsidR="002C2F4D" w:rsidRDefault="00061D81" w:rsidP="00FA6DB5">
      <w:pPr>
        <w:adjustRightInd w:val="0"/>
        <w:spacing w:beforeLines="50" w:before="144"/>
        <w:jc w:val="center"/>
        <w:rPr>
          <w:rFonts w:ascii="黑体" w:eastAsia="黑体" w:hAnsi="黑体" w:cs="黑体"/>
          <w:kern w:val="0"/>
          <w:sz w:val="32"/>
          <w:szCs w:val="32"/>
        </w:rPr>
      </w:pPr>
      <w:r>
        <w:rPr>
          <w:rFonts w:ascii="黑体" w:eastAsia="黑体" w:hAnsi="黑体" w:cs="黑体" w:hint="eastAsia"/>
          <w:sz w:val="32"/>
          <w:szCs w:val="32"/>
        </w:rPr>
        <w:t>“十四五”时期天津市</w:t>
      </w:r>
      <w:r>
        <w:rPr>
          <w:rFonts w:ascii="黑体" w:eastAsia="黑体" w:hAnsi="黑体" w:cs="黑体" w:hint="eastAsia"/>
          <w:kern w:val="0"/>
          <w:sz w:val="32"/>
          <w:szCs w:val="32"/>
        </w:rPr>
        <w:t>基本健康服务基本标准</w:t>
      </w:r>
    </w:p>
    <w:tbl>
      <w:tblPr>
        <w:tblW w:w="9373" w:type="dxa"/>
        <w:tblInd w:w="-3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24"/>
        <w:gridCol w:w="1511"/>
        <w:gridCol w:w="3181"/>
        <w:gridCol w:w="1173"/>
        <w:gridCol w:w="2284"/>
      </w:tblGrid>
      <w:tr w:rsidR="002C2F4D">
        <w:trPr>
          <w:cantSplit/>
          <w:trHeight w:val="514"/>
          <w:tblHeader/>
        </w:trPr>
        <w:tc>
          <w:tcPr>
            <w:tcW w:w="1224" w:type="dxa"/>
            <w:tcBorders>
              <w:tl2br w:val="nil"/>
              <w:tr2bl w:val="nil"/>
            </w:tcBorders>
            <w:vAlign w:val="center"/>
          </w:tcPr>
          <w:p w:rsidR="002C2F4D" w:rsidRDefault="00061D81">
            <w:pPr>
              <w:adjustRightInd w:val="0"/>
              <w:snapToGrid w:val="0"/>
              <w:jc w:val="center"/>
              <w:rPr>
                <w:rFonts w:ascii="黑体" w:eastAsia="黑体" w:hAnsi="黑体" w:cs="黑体"/>
                <w:color w:val="000000"/>
                <w:kern w:val="0"/>
                <w:sz w:val="24"/>
              </w:rPr>
            </w:pPr>
            <w:r>
              <w:rPr>
                <w:rFonts w:ascii="黑体" w:eastAsia="黑体" w:hAnsi="黑体" w:cs="黑体" w:hint="eastAsia"/>
                <w:color w:val="000000"/>
                <w:kern w:val="0"/>
                <w:sz w:val="24"/>
              </w:rPr>
              <w:t>服务项目</w:t>
            </w:r>
          </w:p>
        </w:tc>
        <w:tc>
          <w:tcPr>
            <w:tcW w:w="1511" w:type="dxa"/>
            <w:tcBorders>
              <w:tl2br w:val="nil"/>
              <w:tr2bl w:val="nil"/>
            </w:tcBorders>
            <w:vAlign w:val="center"/>
          </w:tcPr>
          <w:p w:rsidR="002C2F4D" w:rsidRDefault="00061D81">
            <w:pPr>
              <w:adjustRightInd w:val="0"/>
              <w:snapToGrid w:val="0"/>
              <w:jc w:val="center"/>
              <w:rPr>
                <w:rFonts w:ascii="黑体" w:eastAsia="黑体" w:hAnsi="黑体" w:cs="黑体"/>
                <w:color w:val="000000"/>
                <w:kern w:val="0"/>
                <w:sz w:val="24"/>
              </w:rPr>
            </w:pPr>
            <w:r>
              <w:rPr>
                <w:rFonts w:ascii="黑体" w:eastAsia="黑体" w:hAnsi="黑体" w:cs="黑体" w:hint="eastAsia"/>
                <w:color w:val="000000"/>
                <w:kern w:val="0"/>
                <w:sz w:val="24"/>
              </w:rPr>
              <w:t>服务对象</w:t>
            </w:r>
          </w:p>
        </w:tc>
        <w:tc>
          <w:tcPr>
            <w:tcW w:w="3181" w:type="dxa"/>
            <w:tcBorders>
              <w:tl2br w:val="nil"/>
              <w:tr2bl w:val="nil"/>
            </w:tcBorders>
            <w:vAlign w:val="center"/>
          </w:tcPr>
          <w:p w:rsidR="002C2F4D" w:rsidRDefault="00061D81">
            <w:pPr>
              <w:adjustRightInd w:val="0"/>
              <w:snapToGrid w:val="0"/>
              <w:jc w:val="center"/>
              <w:rPr>
                <w:rFonts w:ascii="黑体" w:eastAsia="黑体" w:hAnsi="黑体" w:cs="黑体"/>
                <w:color w:val="000000"/>
                <w:kern w:val="0"/>
                <w:sz w:val="24"/>
              </w:rPr>
            </w:pPr>
            <w:r>
              <w:rPr>
                <w:rFonts w:ascii="黑体" w:eastAsia="黑体" w:hAnsi="黑体" w:cs="黑体" w:hint="eastAsia"/>
                <w:color w:val="000000"/>
                <w:kern w:val="0"/>
                <w:sz w:val="24"/>
              </w:rPr>
              <w:t>保障标准</w:t>
            </w:r>
          </w:p>
        </w:tc>
        <w:tc>
          <w:tcPr>
            <w:tcW w:w="1173" w:type="dxa"/>
            <w:tcBorders>
              <w:tl2br w:val="nil"/>
              <w:tr2bl w:val="nil"/>
            </w:tcBorders>
            <w:vAlign w:val="center"/>
          </w:tcPr>
          <w:p w:rsidR="002C2F4D" w:rsidRDefault="00061D81">
            <w:pPr>
              <w:widowControl/>
              <w:adjustRightInd w:val="0"/>
              <w:snapToGrid w:val="0"/>
              <w:jc w:val="center"/>
              <w:rPr>
                <w:rFonts w:ascii="黑体" w:eastAsia="黑体" w:hAnsi="黑体" w:cs="黑体"/>
                <w:color w:val="000000"/>
                <w:kern w:val="0"/>
                <w:sz w:val="24"/>
              </w:rPr>
            </w:pPr>
            <w:r>
              <w:rPr>
                <w:rFonts w:ascii="黑体" w:eastAsia="黑体" w:hAnsi="黑体" w:cs="黑体" w:hint="eastAsia"/>
                <w:color w:val="000000"/>
                <w:kern w:val="0"/>
                <w:sz w:val="24"/>
              </w:rPr>
              <w:t>支出责任</w:t>
            </w:r>
          </w:p>
        </w:tc>
        <w:tc>
          <w:tcPr>
            <w:tcW w:w="2284" w:type="dxa"/>
            <w:tcBorders>
              <w:tl2br w:val="nil"/>
              <w:tr2bl w:val="nil"/>
            </w:tcBorders>
            <w:vAlign w:val="center"/>
          </w:tcPr>
          <w:p w:rsidR="002C2F4D" w:rsidRDefault="00061D81">
            <w:pPr>
              <w:widowControl/>
              <w:adjustRightInd w:val="0"/>
              <w:snapToGrid w:val="0"/>
              <w:jc w:val="center"/>
              <w:rPr>
                <w:rFonts w:ascii="黑体" w:eastAsia="黑体" w:hAnsi="黑体" w:cs="黑体"/>
                <w:color w:val="000000"/>
                <w:kern w:val="0"/>
                <w:sz w:val="24"/>
              </w:rPr>
            </w:pPr>
            <w:r>
              <w:rPr>
                <w:rFonts w:ascii="黑体" w:eastAsia="黑体" w:hAnsi="黑体" w:cs="黑体" w:hint="eastAsia"/>
                <w:color w:val="000000"/>
                <w:kern w:val="0"/>
                <w:sz w:val="24"/>
              </w:rPr>
              <w:t>覆盖水平</w:t>
            </w:r>
          </w:p>
        </w:tc>
      </w:tr>
      <w:tr w:rsidR="002C2F4D">
        <w:trPr>
          <w:cantSplit/>
          <w:trHeight w:val="454"/>
        </w:trPr>
        <w:tc>
          <w:tcPr>
            <w:tcW w:w="9373" w:type="dxa"/>
            <w:gridSpan w:val="5"/>
            <w:tcBorders>
              <w:tl2br w:val="nil"/>
              <w:tr2bl w:val="nil"/>
            </w:tcBorders>
            <w:vAlign w:val="center"/>
          </w:tcPr>
          <w:p w:rsidR="002C2F4D" w:rsidRDefault="00061D81">
            <w:pPr>
              <w:adjustRightInd w:val="0"/>
              <w:snapToGrid w:val="0"/>
              <w:rPr>
                <w:rFonts w:ascii="楷体_GB2312" w:eastAsia="楷体_GB2312" w:hAnsi="楷体_GB2312" w:cs="楷体_GB2312"/>
                <w:color w:val="000000"/>
                <w:kern w:val="0"/>
                <w:sz w:val="24"/>
              </w:rPr>
            </w:pPr>
            <w:r>
              <w:rPr>
                <w:rFonts w:ascii="楷体_GB2312" w:eastAsia="楷体_GB2312" w:hAnsi="楷体_GB2312" w:cs="楷体_GB2312" w:hint="eastAsia"/>
                <w:color w:val="000000"/>
                <w:kern w:val="0"/>
                <w:sz w:val="24"/>
              </w:rPr>
              <w:t>全方位提升人民健康水平</w:t>
            </w:r>
          </w:p>
        </w:tc>
      </w:tr>
      <w:tr w:rsidR="002C2F4D">
        <w:trPr>
          <w:cantSplit/>
          <w:trHeight w:val="454"/>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健康教育与健康素养促进</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城乡居民</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免费提供健康教育宣传信息和健康教育咨询等服务。</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城乡居民具备健康素养的人数达到总人数的</w:t>
            </w:r>
            <w:r>
              <w:rPr>
                <w:rFonts w:eastAsia="仿宋_GB2312"/>
                <w:color w:val="000000"/>
                <w:kern w:val="0"/>
                <w:sz w:val="24"/>
              </w:rPr>
              <w:t>31%</w:t>
            </w:r>
          </w:p>
        </w:tc>
      </w:tr>
      <w:tr w:rsidR="002C2F4D">
        <w:trPr>
          <w:cantSplit/>
          <w:trHeight w:val="454"/>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基本药物供应保障服务</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城乡居民</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政府办基层医疗卫生机构全部实行基本药物零差率销售，按规定纳入基本医疗保险药品报销目录，逐步提高实际报销水平。</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市、区财政负担，中央财政适当补助。</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目标人群覆盖率</w:t>
            </w:r>
            <w:r>
              <w:rPr>
                <w:rFonts w:eastAsia="仿宋_GB2312"/>
                <w:color w:val="000000"/>
                <w:kern w:val="0"/>
                <w:sz w:val="24"/>
              </w:rPr>
              <w:t>100%</w:t>
            </w:r>
          </w:p>
        </w:tc>
      </w:tr>
      <w:tr w:rsidR="002C2F4D">
        <w:trPr>
          <w:cantSplit/>
          <w:trHeight w:val="454"/>
        </w:trPr>
        <w:tc>
          <w:tcPr>
            <w:tcW w:w="9373" w:type="dxa"/>
            <w:gridSpan w:val="5"/>
            <w:tcBorders>
              <w:tl2br w:val="nil"/>
              <w:tr2bl w:val="nil"/>
            </w:tcBorders>
            <w:vAlign w:val="center"/>
          </w:tcPr>
          <w:p w:rsidR="002C2F4D" w:rsidRDefault="00061D81">
            <w:pPr>
              <w:adjustRightInd w:val="0"/>
              <w:snapToGrid w:val="0"/>
              <w:rPr>
                <w:rFonts w:ascii="楷体_GB2312" w:eastAsia="楷体_GB2312" w:hAnsi="楷体_GB2312" w:cs="楷体_GB2312"/>
                <w:color w:val="000000"/>
                <w:kern w:val="0"/>
                <w:sz w:val="24"/>
              </w:rPr>
            </w:pPr>
            <w:r>
              <w:rPr>
                <w:rFonts w:ascii="楷体_GB2312" w:eastAsia="楷体_GB2312" w:hAnsi="楷体_GB2312" w:cs="楷体_GB2312" w:hint="eastAsia"/>
                <w:color w:val="000000"/>
                <w:kern w:val="0"/>
                <w:sz w:val="24"/>
              </w:rPr>
              <w:t>构建高效的公共卫生体系</w:t>
            </w:r>
          </w:p>
        </w:tc>
      </w:tr>
      <w:tr w:rsidR="002C2F4D">
        <w:trPr>
          <w:cantSplit/>
          <w:trHeight w:val="2090"/>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传染病及突发公共卫生事件报告和处理</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法定传染病病人、疑似病人、密切接触者及相关人群</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开展法定传染病和突发公共卫生事件报告，加大肝炎、流感、手足口病、布鲁氏菌病、狂犬病等传染病防控力度，及时处理疫情和突发公共卫生事件，防止疫情蔓延。</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传染病报告率达到</w:t>
            </w:r>
            <w:r>
              <w:rPr>
                <w:rFonts w:eastAsia="仿宋_GB2312"/>
                <w:color w:val="000000"/>
                <w:kern w:val="0"/>
                <w:sz w:val="24"/>
              </w:rPr>
              <w:t>100%</w:t>
            </w:r>
          </w:p>
        </w:tc>
      </w:tr>
      <w:tr w:rsidR="002C2F4D">
        <w:trPr>
          <w:cantSplit/>
          <w:trHeight w:val="1093"/>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慢性病患者健康管理</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高血压、糖尿病等慢性病高危人群</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免费提供登记管理、健康指导、定期随访和体格检查等服务。</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高血压、</w:t>
            </w:r>
            <w:r>
              <w:rPr>
                <w:rFonts w:eastAsia="仿宋_GB2312"/>
                <w:color w:val="000000"/>
                <w:kern w:val="0"/>
                <w:sz w:val="24"/>
              </w:rPr>
              <w:t>2</w:t>
            </w:r>
            <w:r>
              <w:rPr>
                <w:rFonts w:eastAsia="仿宋_GB2312" w:hint="eastAsia"/>
                <w:color w:val="000000"/>
                <w:kern w:val="0"/>
                <w:sz w:val="24"/>
              </w:rPr>
              <w:t>型糖尿病患者规范化管理率达到</w:t>
            </w:r>
            <w:r>
              <w:rPr>
                <w:rFonts w:eastAsia="仿宋_GB2312"/>
                <w:color w:val="000000"/>
                <w:kern w:val="0"/>
                <w:sz w:val="24"/>
              </w:rPr>
              <w:t>80%</w:t>
            </w:r>
            <w:r>
              <w:rPr>
                <w:rFonts w:eastAsia="仿宋_GB2312" w:hint="eastAsia"/>
                <w:color w:val="000000"/>
                <w:kern w:val="0"/>
                <w:sz w:val="24"/>
              </w:rPr>
              <w:t>以上</w:t>
            </w:r>
          </w:p>
        </w:tc>
      </w:tr>
      <w:tr w:rsidR="002C2F4D">
        <w:trPr>
          <w:cantSplit/>
          <w:trHeight w:val="2049"/>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结核病患者健康管理</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疑似肺结核病人、活动性肺结核病人、病原学阳性肺结核病人密切接触者</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及时报告、转诊、登记疑似肺结核病人，免费筛查密切接触者，免费提供结核病防治知识宣传和咨询服务，减免肺结核患者（含耐多药肺结核患者）治疗费用。</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活动性肺结核发病率</w:t>
            </w:r>
            <w:r>
              <w:rPr>
                <w:rFonts w:eastAsia="仿宋_GB2312"/>
                <w:color w:val="000000"/>
                <w:kern w:val="0"/>
                <w:sz w:val="24"/>
              </w:rPr>
              <w:t>24.5</w:t>
            </w:r>
            <w:r>
              <w:rPr>
                <w:rFonts w:ascii="仿宋_GB2312" w:eastAsia="仿宋_GB2312" w:hAnsi="仿宋_GB2312" w:cs="仿宋_GB2312" w:hint="eastAsia"/>
                <w:color w:val="000000"/>
                <w:kern w:val="0"/>
                <w:sz w:val="24"/>
              </w:rPr>
              <w:t>/</w:t>
            </w:r>
            <w:r>
              <w:rPr>
                <w:rFonts w:eastAsia="仿宋_GB2312"/>
                <w:color w:val="000000"/>
                <w:kern w:val="0"/>
                <w:sz w:val="24"/>
              </w:rPr>
              <w:t>10</w:t>
            </w:r>
            <w:r>
              <w:rPr>
                <w:rFonts w:eastAsia="仿宋_GB2312" w:hint="eastAsia"/>
                <w:color w:val="000000"/>
                <w:kern w:val="0"/>
                <w:sz w:val="24"/>
              </w:rPr>
              <w:t>万</w:t>
            </w:r>
          </w:p>
        </w:tc>
      </w:tr>
      <w:tr w:rsidR="002C2F4D">
        <w:trPr>
          <w:cantSplit/>
          <w:trHeight w:val="1367"/>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艾滋病病毒感染者和病人随访管理</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艾滋病病毒感染者和病人</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在医疗卫生机构指导下，为艾滋病病毒感染者和病人提供随访服务。</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中央财政负担。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目标人群覆盖率</w:t>
            </w:r>
            <w:r>
              <w:rPr>
                <w:rFonts w:eastAsia="仿宋_GB2312" w:hint="eastAsia"/>
                <w:color w:val="000000"/>
                <w:kern w:val="0"/>
                <w:sz w:val="24"/>
              </w:rPr>
              <w:t>90%</w:t>
            </w:r>
            <w:r>
              <w:rPr>
                <w:rFonts w:eastAsia="仿宋_GB2312" w:hint="eastAsia"/>
                <w:color w:val="000000"/>
                <w:kern w:val="0"/>
                <w:sz w:val="24"/>
              </w:rPr>
              <w:t>以上</w:t>
            </w:r>
          </w:p>
        </w:tc>
      </w:tr>
      <w:tr w:rsidR="002C2F4D">
        <w:trPr>
          <w:cantSplit/>
          <w:trHeight w:val="1367"/>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社区易感染艾滋病高危行为人群干预</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易感染艾滋病高危行为人群</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为艾滋病性传播高危行为人群提供综合干预措施。</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中央财政负担。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目标人群覆盖率</w:t>
            </w:r>
            <w:r>
              <w:rPr>
                <w:rFonts w:eastAsia="仿宋_GB2312" w:hint="eastAsia"/>
                <w:color w:val="000000"/>
                <w:kern w:val="0"/>
                <w:sz w:val="24"/>
              </w:rPr>
              <w:t>90%</w:t>
            </w:r>
            <w:r>
              <w:rPr>
                <w:rFonts w:eastAsia="仿宋_GB2312" w:hint="eastAsia"/>
                <w:color w:val="000000"/>
                <w:kern w:val="0"/>
                <w:sz w:val="24"/>
              </w:rPr>
              <w:t>以上</w:t>
            </w:r>
          </w:p>
        </w:tc>
      </w:tr>
      <w:tr w:rsidR="002C2F4D">
        <w:trPr>
          <w:cantSplit/>
          <w:trHeight w:val="1704"/>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地方病患者健康管理</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现症地方病病人</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为辖区内饮水型氟中毒和碘相关疾病患者建立健康档案，进行社区管理；对饮水型氟中毒和碘相关疾病患者每年随访</w:t>
            </w:r>
            <w:r>
              <w:rPr>
                <w:rFonts w:eastAsia="仿宋_GB2312"/>
                <w:color w:val="000000"/>
                <w:kern w:val="0"/>
                <w:sz w:val="24"/>
              </w:rPr>
              <w:t>1</w:t>
            </w:r>
            <w:r>
              <w:rPr>
                <w:rFonts w:eastAsia="仿宋_GB2312" w:hint="eastAsia"/>
                <w:color w:val="000000"/>
                <w:kern w:val="0"/>
                <w:sz w:val="24"/>
              </w:rPr>
              <w:t>次。</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市、区财政负担，中央财政适当补助。</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目标人群覆盖率</w:t>
            </w:r>
            <w:r>
              <w:rPr>
                <w:rFonts w:eastAsia="仿宋_GB2312"/>
                <w:color w:val="000000"/>
                <w:kern w:val="0"/>
                <w:sz w:val="24"/>
              </w:rPr>
              <w:t>100%</w:t>
            </w:r>
          </w:p>
        </w:tc>
      </w:tr>
      <w:tr w:rsidR="002C2F4D">
        <w:trPr>
          <w:cantSplit/>
          <w:trHeight w:val="1801"/>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严重精神障碍患者健康管理</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严重精神障碍患者</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推进严重精神障碍患者门诊免费服药，加强严重精神障碍患者随访管理治疗。</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在册严重精神障碍患者规范管理率保持在</w:t>
            </w:r>
            <w:r>
              <w:rPr>
                <w:rFonts w:eastAsia="仿宋_GB2312"/>
                <w:color w:val="000000"/>
                <w:kern w:val="0"/>
                <w:sz w:val="24"/>
              </w:rPr>
              <w:t>90%</w:t>
            </w:r>
            <w:r>
              <w:rPr>
                <w:rFonts w:eastAsia="仿宋_GB2312" w:hint="eastAsia"/>
                <w:color w:val="000000"/>
                <w:kern w:val="0"/>
                <w:sz w:val="24"/>
              </w:rPr>
              <w:t>以上，精神分裂症服药率达到</w:t>
            </w:r>
            <w:r>
              <w:rPr>
                <w:rFonts w:eastAsia="仿宋_GB2312"/>
                <w:color w:val="000000"/>
                <w:kern w:val="0"/>
                <w:sz w:val="24"/>
              </w:rPr>
              <w:t>90%</w:t>
            </w:r>
            <w:r>
              <w:rPr>
                <w:rFonts w:eastAsia="仿宋_GB2312" w:hint="eastAsia"/>
                <w:color w:val="000000"/>
                <w:kern w:val="0"/>
                <w:sz w:val="24"/>
              </w:rPr>
              <w:t>以上</w:t>
            </w:r>
          </w:p>
        </w:tc>
      </w:tr>
      <w:tr w:rsidR="002C2F4D">
        <w:trPr>
          <w:cantSplit/>
          <w:trHeight w:val="2099"/>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预防接种</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适龄儿童</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合理设置预防接种门诊，提高门诊管理和服务水平。</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以乡镇（街道）为单位，规范化预防接种门诊合理配置率达到</w:t>
            </w:r>
            <w:r>
              <w:rPr>
                <w:rFonts w:eastAsia="仿宋_GB2312"/>
                <w:color w:val="000000"/>
                <w:kern w:val="0"/>
                <w:sz w:val="24"/>
              </w:rPr>
              <w:t>100%</w:t>
            </w:r>
            <w:r>
              <w:rPr>
                <w:rFonts w:eastAsia="仿宋_GB2312" w:hint="eastAsia"/>
                <w:color w:val="000000"/>
                <w:kern w:val="0"/>
                <w:sz w:val="24"/>
              </w:rPr>
              <w:t>，适龄儿童免疫规划疫苗接种率保持在</w:t>
            </w:r>
            <w:r>
              <w:rPr>
                <w:rFonts w:eastAsia="仿宋_GB2312"/>
                <w:color w:val="000000"/>
                <w:kern w:val="0"/>
                <w:sz w:val="24"/>
              </w:rPr>
              <w:t>95%</w:t>
            </w:r>
            <w:r>
              <w:rPr>
                <w:rFonts w:eastAsia="仿宋_GB2312" w:hint="eastAsia"/>
                <w:color w:val="000000"/>
                <w:kern w:val="0"/>
                <w:sz w:val="24"/>
              </w:rPr>
              <w:t>以上</w:t>
            </w:r>
          </w:p>
        </w:tc>
      </w:tr>
      <w:tr w:rsidR="002C2F4D">
        <w:trPr>
          <w:cantSplit/>
          <w:trHeight w:val="454"/>
        </w:trPr>
        <w:tc>
          <w:tcPr>
            <w:tcW w:w="9373" w:type="dxa"/>
            <w:gridSpan w:val="5"/>
            <w:tcBorders>
              <w:tl2br w:val="nil"/>
              <w:tr2bl w:val="nil"/>
            </w:tcBorders>
            <w:vAlign w:val="center"/>
          </w:tcPr>
          <w:p w:rsidR="002C2F4D" w:rsidRDefault="00061D81">
            <w:pPr>
              <w:adjustRightInd w:val="0"/>
              <w:snapToGrid w:val="0"/>
              <w:rPr>
                <w:rFonts w:ascii="楷体_GB2312" w:eastAsia="楷体_GB2312" w:hAnsi="楷体_GB2312" w:cs="楷体_GB2312"/>
                <w:color w:val="000000"/>
                <w:kern w:val="0"/>
                <w:sz w:val="24"/>
              </w:rPr>
            </w:pPr>
            <w:r>
              <w:rPr>
                <w:rFonts w:ascii="楷体_GB2312" w:eastAsia="楷体_GB2312" w:hAnsi="楷体_GB2312" w:cs="楷体_GB2312" w:hint="eastAsia"/>
                <w:color w:val="000000"/>
                <w:kern w:val="0"/>
                <w:sz w:val="24"/>
              </w:rPr>
              <w:t>保障全周期健康服务</w:t>
            </w:r>
          </w:p>
        </w:tc>
      </w:tr>
      <w:tr w:rsidR="002C2F4D">
        <w:trPr>
          <w:cantSplit/>
          <w:trHeight w:val="967"/>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建立居民健康档案</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城乡居民</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免费建立统一、规范的电子居民健康档案。</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规范化电子建档率达到</w:t>
            </w:r>
            <w:r>
              <w:rPr>
                <w:rFonts w:eastAsia="仿宋_GB2312"/>
                <w:color w:val="000000"/>
                <w:kern w:val="0"/>
                <w:sz w:val="24"/>
              </w:rPr>
              <w:t>90%</w:t>
            </w:r>
            <w:r>
              <w:rPr>
                <w:rFonts w:eastAsia="仿宋_GB2312" w:hint="eastAsia"/>
                <w:color w:val="000000"/>
                <w:kern w:val="0"/>
                <w:sz w:val="24"/>
              </w:rPr>
              <w:t>以上</w:t>
            </w:r>
          </w:p>
        </w:tc>
      </w:tr>
      <w:tr w:rsidR="002C2F4D">
        <w:trPr>
          <w:cantSplit/>
          <w:trHeight w:val="454"/>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农村符合条件的计划生育家庭奖励扶助</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本市户籍中农村地区只有一个子女的农村部分计划生育家庭夫妇</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每人每月</w:t>
            </w:r>
            <w:r>
              <w:rPr>
                <w:rFonts w:eastAsia="仿宋_GB2312"/>
                <w:color w:val="000000"/>
                <w:kern w:val="0"/>
                <w:sz w:val="24"/>
              </w:rPr>
              <w:t>80</w:t>
            </w:r>
            <w:r>
              <w:rPr>
                <w:rFonts w:eastAsia="仿宋_GB2312" w:hint="eastAsia"/>
                <w:color w:val="000000"/>
                <w:kern w:val="0"/>
                <w:sz w:val="24"/>
              </w:rPr>
              <w:t>元。</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目标人群覆盖率</w:t>
            </w:r>
            <w:r>
              <w:rPr>
                <w:rFonts w:eastAsia="仿宋_GB2312"/>
                <w:color w:val="000000"/>
                <w:kern w:val="0"/>
                <w:sz w:val="24"/>
              </w:rPr>
              <w:t>100%</w:t>
            </w:r>
          </w:p>
        </w:tc>
      </w:tr>
      <w:tr w:rsidR="002C2F4D">
        <w:trPr>
          <w:cantSplit/>
          <w:trHeight w:val="454"/>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计划生育家庭特别扶助</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本市户籍中独生子女发生伤残或死亡的家庭夫妇</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独生子女死亡家庭夫妇每人每月发放</w:t>
            </w:r>
            <w:r>
              <w:rPr>
                <w:rFonts w:eastAsia="仿宋_GB2312"/>
                <w:color w:val="000000"/>
                <w:kern w:val="0"/>
                <w:sz w:val="24"/>
              </w:rPr>
              <w:t>720</w:t>
            </w:r>
            <w:r>
              <w:rPr>
                <w:rFonts w:eastAsia="仿宋_GB2312" w:hint="eastAsia"/>
                <w:color w:val="000000"/>
                <w:kern w:val="0"/>
                <w:sz w:val="24"/>
              </w:rPr>
              <w:t>元；独生子女伤残家庭夫妻每人每月发放</w:t>
            </w:r>
            <w:r>
              <w:rPr>
                <w:rFonts w:eastAsia="仿宋_GB2312"/>
                <w:color w:val="000000"/>
                <w:kern w:val="0"/>
                <w:sz w:val="24"/>
              </w:rPr>
              <w:t>590</w:t>
            </w:r>
            <w:r>
              <w:rPr>
                <w:rFonts w:eastAsia="仿宋_GB2312" w:hint="eastAsia"/>
                <w:color w:val="000000"/>
                <w:kern w:val="0"/>
                <w:sz w:val="24"/>
              </w:rPr>
              <w:t>元。</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目标人群覆盖率</w:t>
            </w:r>
            <w:r>
              <w:rPr>
                <w:rFonts w:eastAsia="仿宋_GB2312"/>
                <w:color w:val="000000"/>
                <w:kern w:val="0"/>
                <w:sz w:val="24"/>
              </w:rPr>
              <w:t>100%</w:t>
            </w:r>
          </w:p>
        </w:tc>
      </w:tr>
      <w:tr w:rsidR="002C2F4D">
        <w:trPr>
          <w:cantSplit/>
          <w:trHeight w:val="454"/>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免费孕前优生健康检查</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计划怀孕夫妇</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为计划怀孕夫妇每孩次提供</w:t>
            </w:r>
            <w:r>
              <w:rPr>
                <w:rFonts w:eastAsia="仿宋_GB2312"/>
                <w:color w:val="000000"/>
                <w:kern w:val="0"/>
                <w:sz w:val="24"/>
              </w:rPr>
              <w:t>1</w:t>
            </w:r>
            <w:r>
              <w:rPr>
                <w:rFonts w:eastAsia="仿宋_GB2312" w:hint="eastAsia"/>
                <w:color w:val="000000"/>
                <w:kern w:val="0"/>
                <w:sz w:val="24"/>
              </w:rPr>
              <w:t>次免费孕前优生健康检查和健康教育、咨询指导等服务。</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目标人群覆盖率</w:t>
            </w:r>
            <w:r>
              <w:rPr>
                <w:rFonts w:eastAsia="仿宋_GB2312"/>
                <w:color w:val="000000"/>
                <w:kern w:val="0"/>
                <w:sz w:val="24"/>
              </w:rPr>
              <w:t>80%</w:t>
            </w:r>
          </w:p>
        </w:tc>
      </w:tr>
      <w:tr w:rsidR="002C2F4D">
        <w:trPr>
          <w:cantSplit/>
          <w:trHeight w:val="454"/>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孕产妇健康服务</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孕产妇</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免费为孕产妇规范提供</w:t>
            </w:r>
            <w:r>
              <w:rPr>
                <w:rFonts w:eastAsia="仿宋_GB2312" w:hint="eastAsia"/>
                <w:color w:val="000000"/>
                <w:kern w:val="0"/>
                <w:sz w:val="24"/>
              </w:rPr>
              <w:t>1</w:t>
            </w:r>
            <w:r>
              <w:rPr>
                <w:rFonts w:eastAsia="仿宋_GB2312" w:hint="eastAsia"/>
                <w:color w:val="000000"/>
                <w:kern w:val="0"/>
                <w:sz w:val="24"/>
              </w:rPr>
              <w:t>次孕早期健康检查、</w:t>
            </w:r>
            <w:r>
              <w:rPr>
                <w:rFonts w:eastAsia="仿宋_GB2312" w:hint="eastAsia"/>
                <w:color w:val="000000"/>
                <w:kern w:val="0"/>
                <w:sz w:val="24"/>
              </w:rPr>
              <w:t>1</w:t>
            </w:r>
            <w:r>
              <w:rPr>
                <w:rFonts w:eastAsia="仿宋_GB2312" w:hint="eastAsia"/>
                <w:color w:val="000000"/>
                <w:kern w:val="0"/>
                <w:sz w:val="24"/>
              </w:rPr>
              <w:t>次产后访视和健康指导等服务。</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孕产妇系统管理率达到</w:t>
            </w:r>
            <w:r>
              <w:rPr>
                <w:rFonts w:eastAsia="仿宋_GB2312"/>
                <w:color w:val="000000"/>
                <w:kern w:val="0"/>
                <w:sz w:val="24"/>
              </w:rPr>
              <w:t>90%</w:t>
            </w:r>
          </w:p>
        </w:tc>
      </w:tr>
      <w:tr w:rsidR="002C2F4D">
        <w:trPr>
          <w:cantSplit/>
          <w:trHeight w:val="454"/>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基本避孕服务</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有避孕节育需求的育龄人群</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按照规定提供免费基本避孕服务，便民发放免费避孕药具，提供避孕节育、优生优育、生殖健康等宣传和咨询服务。</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目标人群覆盖率</w:t>
            </w:r>
            <w:r>
              <w:rPr>
                <w:rFonts w:eastAsia="仿宋_GB2312"/>
                <w:color w:val="000000"/>
                <w:kern w:val="0"/>
                <w:sz w:val="24"/>
              </w:rPr>
              <w:t>100%</w:t>
            </w:r>
          </w:p>
        </w:tc>
      </w:tr>
      <w:tr w:rsidR="002C2F4D">
        <w:trPr>
          <w:cantSplit/>
          <w:trHeight w:val="454"/>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儿童健康管理</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color w:val="000000"/>
                <w:kern w:val="0"/>
                <w:sz w:val="24"/>
              </w:rPr>
              <w:t>0</w:t>
            </w:r>
            <w:r>
              <w:rPr>
                <w:rFonts w:eastAsia="仿宋_GB2312" w:hint="eastAsia"/>
                <w:color w:val="000000"/>
                <w:kern w:val="0"/>
                <w:sz w:val="24"/>
              </w:rPr>
              <w:t>至</w:t>
            </w:r>
            <w:r>
              <w:rPr>
                <w:rFonts w:eastAsia="仿宋_GB2312"/>
                <w:color w:val="000000"/>
                <w:kern w:val="0"/>
                <w:sz w:val="24"/>
              </w:rPr>
              <w:t>6</w:t>
            </w:r>
            <w:r>
              <w:rPr>
                <w:rFonts w:eastAsia="仿宋_GB2312" w:hint="eastAsia"/>
                <w:color w:val="000000"/>
                <w:kern w:val="0"/>
                <w:sz w:val="24"/>
              </w:rPr>
              <w:t>岁儿童</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规范提供新生儿家庭访视、新生儿满月健康管理、婴幼儿健康管理、学龄前儿童健康管理服务。</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儿童健康管理率达到</w:t>
            </w:r>
            <w:r>
              <w:rPr>
                <w:rFonts w:eastAsia="仿宋_GB2312"/>
                <w:color w:val="000000"/>
                <w:kern w:val="0"/>
                <w:sz w:val="24"/>
              </w:rPr>
              <w:t>90%</w:t>
            </w:r>
          </w:p>
        </w:tc>
      </w:tr>
      <w:tr w:rsidR="002C2F4D">
        <w:trPr>
          <w:cantSplit/>
          <w:trHeight w:val="454"/>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老年人健康管理</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color w:val="000000"/>
                <w:kern w:val="0"/>
                <w:sz w:val="24"/>
              </w:rPr>
              <w:t>65</w:t>
            </w:r>
            <w:r>
              <w:rPr>
                <w:rFonts w:eastAsia="仿宋_GB2312" w:hint="eastAsia"/>
                <w:color w:val="000000"/>
                <w:kern w:val="0"/>
                <w:sz w:val="24"/>
              </w:rPr>
              <w:t>岁及以上老年人</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免费进行登记管理，提供健康危险因素调查、一般体格检查、中医体质辨识，疾病预防、自我保健及伤害预防、自救等健康指导服务。</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老年居民健康管理率达到</w:t>
            </w:r>
            <w:r>
              <w:rPr>
                <w:rFonts w:eastAsia="仿宋_GB2312"/>
                <w:color w:val="000000"/>
                <w:kern w:val="0"/>
                <w:sz w:val="24"/>
              </w:rPr>
              <w:t>80%</w:t>
            </w:r>
            <w:r>
              <w:rPr>
                <w:rFonts w:eastAsia="仿宋_GB2312" w:hint="eastAsia"/>
                <w:color w:val="000000"/>
                <w:kern w:val="0"/>
                <w:sz w:val="24"/>
              </w:rPr>
              <w:t>以上</w:t>
            </w:r>
          </w:p>
        </w:tc>
      </w:tr>
      <w:tr w:rsidR="002C2F4D">
        <w:trPr>
          <w:cantSplit/>
          <w:trHeight w:val="454"/>
        </w:trPr>
        <w:tc>
          <w:tcPr>
            <w:tcW w:w="9373" w:type="dxa"/>
            <w:gridSpan w:val="5"/>
            <w:tcBorders>
              <w:tl2br w:val="nil"/>
              <w:tr2bl w:val="nil"/>
            </w:tcBorders>
            <w:vAlign w:val="center"/>
          </w:tcPr>
          <w:p w:rsidR="002C2F4D" w:rsidRDefault="00061D81">
            <w:pPr>
              <w:adjustRightInd w:val="0"/>
              <w:snapToGrid w:val="0"/>
              <w:rPr>
                <w:rFonts w:ascii="楷体_GB2312" w:eastAsia="楷体_GB2312" w:hAnsi="楷体_GB2312" w:cs="楷体_GB2312"/>
                <w:color w:val="000000"/>
                <w:kern w:val="0"/>
                <w:sz w:val="24"/>
              </w:rPr>
            </w:pPr>
            <w:r>
              <w:rPr>
                <w:rFonts w:ascii="楷体_GB2312" w:eastAsia="楷体_GB2312" w:hAnsi="楷体_GB2312" w:cs="楷体_GB2312" w:hint="eastAsia"/>
                <w:color w:val="000000"/>
                <w:kern w:val="0"/>
                <w:sz w:val="24"/>
              </w:rPr>
              <w:t>加强卫生监督</w:t>
            </w:r>
          </w:p>
        </w:tc>
      </w:tr>
      <w:tr w:rsidR="002C2F4D">
        <w:trPr>
          <w:cantSplit/>
          <w:trHeight w:val="454"/>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卫生监督协管服务</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城乡居民</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为辖区内居民提供食品安全信息报告、饮用水卫生安全巡查、学校卫生服务、非法行医和非法采供血巡查、计划生育信息报告、职业卫生和放射卫生巡查等服务；为城乡居民提供科普宣传、教育服务。</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目标人群覆盖率</w:t>
            </w:r>
            <w:r>
              <w:rPr>
                <w:rFonts w:eastAsia="仿宋_GB2312"/>
                <w:color w:val="000000"/>
                <w:kern w:val="0"/>
                <w:sz w:val="24"/>
              </w:rPr>
              <w:t>100%</w:t>
            </w:r>
          </w:p>
        </w:tc>
      </w:tr>
      <w:tr w:rsidR="002C2F4D">
        <w:trPr>
          <w:cantSplit/>
          <w:trHeight w:val="454"/>
        </w:trPr>
        <w:tc>
          <w:tcPr>
            <w:tcW w:w="9373" w:type="dxa"/>
            <w:gridSpan w:val="5"/>
            <w:tcBorders>
              <w:tl2br w:val="nil"/>
              <w:tr2bl w:val="nil"/>
            </w:tcBorders>
            <w:vAlign w:val="center"/>
          </w:tcPr>
          <w:p w:rsidR="002C2F4D" w:rsidRDefault="00061D81">
            <w:pPr>
              <w:adjustRightInd w:val="0"/>
              <w:snapToGrid w:val="0"/>
              <w:rPr>
                <w:rFonts w:ascii="楷体_GB2312" w:eastAsia="楷体_GB2312" w:hAnsi="楷体_GB2312" w:cs="楷体_GB2312"/>
                <w:color w:val="000000"/>
                <w:kern w:val="0"/>
                <w:sz w:val="24"/>
              </w:rPr>
            </w:pPr>
            <w:r>
              <w:rPr>
                <w:rFonts w:ascii="楷体_GB2312" w:eastAsia="楷体_GB2312" w:hAnsi="楷体_GB2312" w:cs="楷体_GB2312" w:hint="eastAsia"/>
                <w:color w:val="000000"/>
                <w:kern w:val="0"/>
                <w:sz w:val="24"/>
              </w:rPr>
              <w:t>加强食品药品安全监督管理</w:t>
            </w:r>
          </w:p>
        </w:tc>
      </w:tr>
      <w:tr w:rsidR="002C2F4D">
        <w:trPr>
          <w:cantSplit/>
          <w:trHeight w:val="2440"/>
        </w:trPr>
        <w:tc>
          <w:tcPr>
            <w:tcW w:w="122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食品药品安全保障</w:t>
            </w:r>
          </w:p>
        </w:tc>
        <w:tc>
          <w:tcPr>
            <w:tcW w:w="151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城乡居民</w:t>
            </w:r>
          </w:p>
        </w:tc>
        <w:tc>
          <w:tcPr>
            <w:tcW w:w="3181"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对供应城乡居民的食品药品开展监督检查，防范食品药品安全风险。为辖区内居民提供食品安全风险监测、标准跟踪评价等服务。对食品药品医疗器械实施风险分类管理，提高对高风险产品的监管强度。</w:t>
            </w:r>
          </w:p>
        </w:tc>
        <w:tc>
          <w:tcPr>
            <w:tcW w:w="1173"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各级财政负担。</w:t>
            </w:r>
          </w:p>
        </w:tc>
        <w:tc>
          <w:tcPr>
            <w:tcW w:w="2284" w:type="dxa"/>
            <w:tcBorders>
              <w:tl2br w:val="nil"/>
              <w:tr2bl w:val="nil"/>
            </w:tcBorders>
            <w:vAlign w:val="center"/>
          </w:tcPr>
          <w:p w:rsidR="002C2F4D" w:rsidRDefault="00061D81">
            <w:pPr>
              <w:adjustRightInd w:val="0"/>
              <w:snapToGrid w:val="0"/>
              <w:rPr>
                <w:rFonts w:eastAsia="仿宋_GB2312"/>
                <w:color w:val="000000"/>
                <w:kern w:val="0"/>
                <w:sz w:val="24"/>
              </w:rPr>
            </w:pPr>
            <w:r>
              <w:rPr>
                <w:rFonts w:eastAsia="仿宋_GB2312" w:hint="eastAsia"/>
                <w:color w:val="000000"/>
                <w:kern w:val="0"/>
                <w:sz w:val="24"/>
              </w:rPr>
              <w:t>目标人群覆盖率</w:t>
            </w:r>
            <w:r>
              <w:rPr>
                <w:rFonts w:eastAsia="仿宋_GB2312"/>
                <w:color w:val="000000"/>
                <w:kern w:val="0"/>
                <w:sz w:val="24"/>
              </w:rPr>
              <w:t>100%</w:t>
            </w:r>
          </w:p>
        </w:tc>
      </w:tr>
    </w:tbl>
    <w:p w:rsidR="002C2F4D" w:rsidRDefault="002C2F4D">
      <w:pPr>
        <w:adjustRightInd w:val="0"/>
        <w:rPr>
          <w:rFonts w:ascii="楷体_GB2312" w:eastAsia="楷体_GB2312" w:hAnsi="楷体_GB2312" w:cs="楷体_GB2312"/>
          <w:kern w:val="0"/>
          <w:sz w:val="32"/>
          <w:szCs w:val="32"/>
        </w:rPr>
      </w:pPr>
    </w:p>
    <w:p w:rsidR="002C2F4D" w:rsidRDefault="00061D81">
      <w:pPr>
        <w:adjustRightInd w:val="0"/>
        <w:jc w:val="center"/>
        <w:rPr>
          <w:rFonts w:ascii="黑体" w:eastAsia="黑体" w:hAnsi="黑体" w:cs="黑体"/>
          <w:kern w:val="0"/>
          <w:sz w:val="32"/>
          <w:szCs w:val="32"/>
        </w:rPr>
      </w:pPr>
      <w:bookmarkStart w:id="41" w:name="_Toc65837403"/>
      <w:r>
        <w:rPr>
          <w:rFonts w:ascii="黑体" w:eastAsia="黑体" w:hAnsi="黑体" w:cs="黑体" w:hint="eastAsia"/>
          <w:kern w:val="0"/>
          <w:sz w:val="32"/>
          <w:szCs w:val="32"/>
        </w:rPr>
        <w:t>第三节</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保障工程</w:t>
      </w:r>
      <w:bookmarkEnd w:id="41"/>
    </w:p>
    <w:p w:rsidR="002C2F4D" w:rsidRDefault="002C2F4D">
      <w:pPr>
        <w:adjustRightInd w:val="0"/>
        <w:rPr>
          <w:rFonts w:ascii="仿宋_GB2312" w:eastAsia="仿宋_GB2312" w:hAnsi="宋体" w:cs="宋体"/>
          <w:b/>
          <w:kern w:val="0"/>
          <w:sz w:val="32"/>
          <w:szCs w:val="32"/>
        </w:rPr>
      </w:pP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bCs/>
          <w:kern w:val="0"/>
          <w:sz w:val="32"/>
          <w:szCs w:val="32"/>
        </w:rPr>
        <w:t>实施人民健康提升行动。</w:t>
      </w:r>
      <w:r>
        <w:rPr>
          <w:rFonts w:ascii="仿宋_GB2312" w:eastAsia="仿宋_GB2312" w:hAnsi="宋体" w:cs="宋体" w:hint="eastAsia"/>
          <w:kern w:val="0"/>
          <w:sz w:val="32"/>
          <w:szCs w:val="32"/>
        </w:rPr>
        <w:t>完善爱国卫生管理平台建设，优化模块设计。持续深入开展环境卫生综合整治，强化病媒生物预防控制。全面推进城乡饮用水水质监测网络建设。加强食源性疾病分子溯源网络建设，开展食源性疾病监测溯源、预警关键技术研究，建设市级监测数据平台。持续开展健康村镇、健康社区、健康单位、健康家庭等健康细胞建设。</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bCs/>
          <w:kern w:val="0"/>
          <w:sz w:val="32"/>
          <w:szCs w:val="32"/>
        </w:rPr>
        <w:t>实施重大疾病防控能力提升工程。</w:t>
      </w:r>
      <w:r>
        <w:rPr>
          <w:rFonts w:ascii="仿宋_GB2312" w:eastAsia="仿宋_GB2312" w:hAnsi="宋体" w:cs="宋体" w:hint="eastAsia"/>
          <w:kern w:val="0"/>
          <w:sz w:val="32"/>
          <w:szCs w:val="32"/>
        </w:rPr>
        <w:t>分级分类组建疾控应急队伍，建立适应现代化疾控体系的疾控专业人才引进、培养、使用和管理长效机制。加快推动天津市传染病防治研究中心、预检中心、教学培训（实训）中心和公共卫生信息中心建设。加快推进天津</w:t>
      </w:r>
      <w:r>
        <w:rPr>
          <w:rFonts w:ascii="仿宋_GB2312" w:eastAsia="仿宋_GB2312" w:hAnsi="宋体" w:cs="宋体" w:hint="eastAsia"/>
          <w:kern w:val="0"/>
          <w:sz w:val="32"/>
          <w:szCs w:val="32"/>
        </w:rPr>
        <w:t>市海河医院甲楼传染病区改扩建、天津市疾病预防控制中心实验室提升改造等工程项目。完善精神卫生三级机构体系建设。加快免疫规划信息化建设，实现免疫人群及疫苗的智慧化管理。扩大地方病监测范围，探索适宜本市特色的地方病防治宣教模式。</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bCs/>
          <w:kern w:val="0"/>
          <w:sz w:val="32"/>
          <w:szCs w:val="32"/>
        </w:rPr>
        <w:t>实施公共卫生保障能力提升工程。</w:t>
      </w:r>
      <w:r>
        <w:rPr>
          <w:rFonts w:ascii="仿宋_GB2312" w:eastAsia="仿宋_GB2312" w:hAnsi="宋体" w:cs="宋体" w:hint="eastAsia"/>
          <w:kern w:val="0"/>
          <w:sz w:val="32"/>
          <w:szCs w:val="32"/>
        </w:rPr>
        <w:t>完善涵盖市、区两级的疾病预防控制信息平台。建设全市突发公共卫生事件应急处置指挥平台。建立功能完备、整体联动、数据共享、即时响应的传染病监测综合信息管理平台。推进公共卫生机构和医疗机构协同监测机制建设，完善卫生健康系统生物安全防护三级（</w:t>
      </w:r>
      <w:r>
        <w:rPr>
          <w:rFonts w:eastAsia="仿宋_GB2312"/>
          <w:kern w:val="0"/>
          <w:sz w:val="32"/>
          <w:szCs w:val="32"/>
        </w:rPr>
        <w:t>P3</w:t>
      </w:r>
      <w:r>
        <w:rPr>
          <w:rFonts w:ascii="仿宋_GB2312" w:eastAsia="仿宋_GB2312" w:hAnsi="宋体" w:cs="宋体"/>
          <w:kern w:val="0"/>
          <w:sz w:val="32"/>
          <w:szCs w:val="32"/>
        </w:rPr>
        <w:t>）实验室建设。实现二</w:t>
      </w:r>
      <w:r>
        <w:rPr>
          <w:rFonts w:ascii="仿宋_GB2312" w:eastAsia="仿宋_GB2312" w:hAnsi="宋体" w:cs="宋体"/>
          <w:kern w:val="0"/>
          <w:sz w:val="32"/>
          <w:szCs w:val="32"/>
        </w:rPr>
        <w:t>级及以上公立综合医院、传染病专科医院全部具备独立开展核酸检测的能力，鼓励第三方医学检验实验室开展核酸检测。</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bCs/>
          <w:kern w:val="0"/>
          <w:sz w:val="32"/>
          <w:szCs w:val="32"/>
        </w:rPr>
        <w:t>实施特殊群体服务能力提升工程。</w:t>
      </w:r>
      <w:r>
        <w:rPr>
          <w:rFonts w:ascii="仿宋_GB2312" w:eastAsia="仿宋_GB2312" w:hAnsi="宋体" w:cs="宋体" w:hint="eastAsia"/>
          <w:kern w:val="0"/>
          <w:sz w:val="32"/>
          <w:szCs w:val="32"/>
        </w:rPr>
        <w:t>贯彻实施《天津市人民政府办公厅关于印发〈天津市促进</w:t>
      </w:r>
      <w:r>
        <w:rPr>
          <w:rFonts w:eastAsia="仿宋_GB2312"/>
          <w:kern w:val="0"/>
          <w:sz w:val="32"/>
          <w:szCs w:val="32"/>
        </w:rPr>
        <w:t>3</w:t>
      </w:r>
      <w:r>
        <w:rPr>
          <w:rFonts w:ascii="仿宋_GB2312" w:eastAsia="仿宋_GB2312" w:hAnsi="宋体" w:cs="宋体" w:hint="eastAsia"/>
          <w:kern w:val="0"/>
          <w:sz w:val="32"/>
          <w:szCs w:val="32"/>
        </w:rPr>
        <w:t>岁以下婴幼儿照护服务发展实施细则〉的通知</w:t>
      </w:r>
      <w:r>
        <w:rPr>
          <w:rFonts w:ascii="仿宋_GB2312" w:eastAsia="仿宋_GB2312"/>
          <w:sz w:val="32"/>
          <w:szCs w:val="32"/>
        </w:rPr>
        <w:t>》（</w:t>
      </w:r>
      <w:r>
        <w:rPr>
          <w:rFonts w:ascii="仿宋_GB2312" w:eastAsia="仿宋_GB2312" w:hAnsi="宋体" w:cs="宋体" w:hint="eastAsia"/>
          <w:kern w:val="0"/>
          <w:sz w:val="32"/>
          <w:szCs w:val="32"/>
        </w:rPr>
        <w:t>津政办规</w:t>
      </w:r>
      <w:r>
        <w:rPr>
          <w:rFonts w:eastAsia="仿宋_GB2312"/>
          <w:kern w:val="0"/>
          <w:sz w:val="32"/>
          <w:szCs w:val="32"/>
        </w:rPr>
        <w:t>〔</w:t>
      </w:r>
      <w:r>
        <w:rPr>
          <w:rFonts w:eastAsia="仿宋_GB2312"/>
          <w:kern w:val="0"/>
          <w:sz w:val="32"/>
          <w:szCs w:val="32"/>
        </w:rPr>
        <w:t>2020</w:t>
      </w:r>
      <w:r>
        <w:rPr>
          <w:rFonts w:eastAsia="仿宋_GB2312"/>
          <w:kern w:val="0"/>
          <w:sz w:val="32"/>
          <w:szCs w:val="32"/>
        </w:rPr>
        <w:t>〕</w:t>
      </w:r>
      <w:r>
        <w:rPr>
          <w:rFonts w:eastAsia="仿宋_GB2312"/>
          <w:kern w:val="0"/>
          <w:sz w:val="32"/>
          <w:szCs w:val="32"/>
        </w:rPr>
        <w:t>17</w:t>
      </w:r>
      <w:r>
        <w:rPr>
          <w:rFonts w:ascii="仿宋_GB2312" w:eastAsia="仿宋_GB2312" w:hAnsi="宋体" w:cs="宋体" w:hint="eastAsia"/>
          <w:kern w:val="0"/>
          <w:sz w:val="32"/>
          <w:szCs w:val="32"/>
        </w:rPr>
        <w:t>号</w:t>
      </w:r>
      <w:r>
        <w:rPr>
          <w:rFonts w:ascii="仿宋_GB2312" w:eastAsia="仿宋_GB2312"/>
          <w:sz w:val="32"/>
          <w:szCs w:val="32"/>
        </w:rPr>
        <w:t>）。</w:t>
      </w:r>
      <w:r>
        <w:rPr>
          <w:rFonts w:ascii="仿宋_GB2312" w:eastAsia="仿宋_GB2312" w:hAnsi="宋体" w:cs="宋体" w:hint="eastAsia"/>
          <w:kern w:val="0"/>
          <w:sz w:val="32"/>
          <w:szCs w:val="32"/>
        </w:rPr>
        <w:t>开展普惠托育服务专项行动，建设一批具有带动效应、承担一定指导功能的示范性托育服务机构。建立健全以基层医疗卫生机构为基础，老年医院和综合医院、中医医院、中西医结合医院老年医学科为核心，相关教学科研机构为支撑的老年医疗服务网络。建立完善以机构为支撑、社区为依托、居家为基础的老年护理服务网络。</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bCs/>
          <w:kern w:val="0"/>
          <w:sz w:val="32"/>
          <w:szCs w:val="32"/>
        </w:rPr>
        <w:t>持续深化医药卫生体制改革。</w:t>
      </w:r>
      <w:r>
        <w:rPr>
          <w:rFonts w:ascii="仿宋_GB2312" w:eastAsia="仿宋_GB2312" w:hAnsi="宋体" w:cs="宋体" w:hint="eastAsia"/>
          <w:kern w:val="0"/>
          <w:sz w:val="32"/>
          <w:szCs w:val="32"/>
        </w:rPr>
        <w:t>理顺政府和医院的关系，推动实现管办分开和政事分离。支持滨海新区等有条件的区试点推行公立医院人员控制数额管理。扎实做好短缺药品保供稳价。坚持三医联动，做好国家组织集中采购中选药品临床配备使用。稳步开</w:t>
      </w:r>
      <w:r>
        <w:rPr>
          <w:rFonts w:ascii="仿宋_GB2312" w:eastAsia="仿宋_GB2312" w:hAnsi="宋体" w:cs="宋体" w:hint="eastAsia"/>
          <w:kern w:val="0"/>
          <w:sz w:val="32"/>
          <w:szCs w:val="32"/>
        </w:rPr>
        <w:t>展药品临床综合评价。加强药事管理，促进合理用药。大力推进分级诊疗制度建设和医联体建设，加快建设城市医疗集团、县域医共体等紧密型医联体。扩大远程医疗服务范围。规范家庭医生签约服务协议，丰富家庭医生签约服务内容。</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bCs/>
          <w:kern w:val="0"/>
          <w:sz w:val="32"/>
          <w:szCs w:val="32"/>
        </w:rPr>
        <w:t>实施健康人才发展保障工程。</w:t>
      </w:r>
      <w:r>
        <w:rPr>
          <w:rFonts w:ascii="仿宋_GB2312" w:eastAsia="仿宋_GB2312" w:hAnsi="宋体" w:cs="宋体" w:hint="eastAsia"/>
          <w:kern w:val="0"/>
          <w:sz w:val="32"/>
          <w:szCs w:val="32"/>
        </w:rPr>
        <w:t>持续实施天津市卫生健康行业高层次人才选拔培养工程和天津名医遴选计划。健全完善卫生健康人才分类评价体系，推进卫生技术职称改革，优化疾病预防控制机构专业技术岗位结构比例。</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bCs/>
          <w:kern w:val="0"/>
          <w:sz w:val="32"/>
          <w:szCs w:val="32"/>
        </w:rPr>
        <w:t>完善卫生健康科技创新体系建设。</w:t>
      </w:r>
      <w:r>
        <w:rPr>
          <w:rFonts w:ascii="仿宋_GB2312" w:eastAsia="仿宋_GB2312" w:hAnsi="宋体" w:cs="宋体" w:hint="eastAsia"/>
          <w:kern w:val="0"/>
          <w:sz w:val="32"/>
          <w:szCs w:val="32"/>
        </w:rPr>
        <w:t>推进建设全民健康信息平台，创新互联网健康医疗服务模式。打造科研创新协同发展平台</w:t>
      </w:r>
      <w:r>
        <w:rPr>
          <w:rFonts w:ascii="仿宋_GB2312" w:eastAsia="仿宋_GB2312" w:hAnsi="宋体" w:cs="宋体" w:hint="eastAsia"/>
          <w:kern w:val="0"/>
          <w:sz w:val="32"/>
          <w:szCs w:val="32"/>
        </w:rPr>
        <w:t>，加强国家中心（包括共建中心</w:t>
      </w:r>
      <w:r>
        <w:rPr>
          <w:rFonts w:ascii="仿宋_GB2312" w:eastAsia="仿宋_GB2312"/>
          <w:sz w:val="32"/>
          <w:szCs w:val="32"/>
        </w:rPr>
        <w:t>）、</w:t>
      </w:r>
      <w:r>
        <w:rPr>
          <w:rFonts w:ascii="仿宋_GB2312" w:eastAsia="仿宋_GB2312" w:hAnsi="宋体" w:cs="宋体" w:hint="eastAsia"/>
          <w:kern w:val="0"/>
          <w:sz w:val="32"/>
          <w:szCs w:val="32"/>
        </w:rPr>
        <w:t>分中心和市级中心的建设。构建开放协同的多部门多学科研究力量和技术平台。持续推进智慧医院建设，加强各级各类公立医疗卫生机构智能化建设。推进医疗健康大数据开放共享、深度挖掘和广泛应用。遴选支持一批“互联网</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医疗健康”示范项目。</w:t>
      </w:r>
    </w:p>
    <w:p w:rsidR="002C2F4D" w:rsidRDefault="00061D81" w:rsidP="00FA6DB5">
      <w:pPr>
        <w:adjustRightInd w:val="0"/>
        <w:ind w:firstLineChars="200" w:firstLine="622"/>
        <w:rPr>
          <w:rFonts w:ascii="黑体" w:eastAsia="黑体"/>
          <w:bCs/>
          <w:kern w:val="0"/>
          <w:sz w:val="32"/>
          <w:szCs w:val="32"/>
        </w:rPr>
      </w:pPr>
      <w:r>
        <w:rPr>
          <w:rFonts w:ascii="楷体_GB2312" w:eastAsia="楷体_GB2312" w:hAnsi="楷体_GB2312" w:cs="楷体_GB2312" w:hint="eastAsia"/>
          <w:bCs/>
          <w:kern w:val="0"/>
          <w:sz w:val="32"/>
          <w:szCs w:val="32"/>
        </w:rPr>
        <w:t>实施食品药品安全放心工程。</w:t>
      </w:r>
      <w:r>
        <w:rPr>
          <w:rFonts w:ascii="仿宋_GB2312" w:eastAsia="仿宋_GB2312" w:hAnsi="宋体" w:cs="宋体" w:hint="eastAsia"/>
          <w:kern w:val="0"/>
          <w:sz w:val="32"/>
          <w:szCs w:val="32"/>
        </w:rPr>
        <w:t>实施校园食品安全守护行动、农村假冒伪劣食品治理行动、餐饮质量安全提升行动等食品安全放心工程攻坚行动，提升食品全链条质量安全保障水平。健全食品安全全程追溯体系，利用信息化手段推进肉菜等重要产品追溯平台、食用林产品质量安全追溯平台、生</w:t>
      </w:r>
      <w:r>
        <w:rPr>
          <w:rFonts w:ascii="仿宋_GB2312" w:eastAsia="仿宋_GB2312" w:hAnsi="宋体" w:cs="宋体" w:hint="eastAsia"/>
          <w:kern w:val="0"/>
          <w:sz w:val="32"/>
          <w:szCs w:val="32"/>
        </w:rPr>
        <w:t>产企业信息化追溯体系、婴幼儿配方乳粉追溯体系、进口冷链食品追溯体系建设，实现各追溯平台互联互通。启动实施食安天津智慧监管大数据云平台三年规划建设。结合《中华人民共和国药品管理法</w:t>
      </w:r>
      <w:r>
        <w:rPr>
          <w:rFonts w:ascii="仿宋_GB2312" w:eastAsia="仿宋_GB2312"/>
          <w:sz w:val="32"/>
          <w:szCs w:val="32"/>
        </w:rPr>
        <w:t>》、《</w:t>
      </w:r>
      <w:r>
        <w:rPr>
          <w:rFonts w:ascii="仿宋_GB2312" w:eastAsia="仿宋_GB2312" w:hAnsi="宋体" w:cs="宋体" w:hint="eastAsia"/>
          <w:kern w:val="0"/>
          <w:sz w:val="32"/>
          <w:szCs w:val="32"/>
        </w:rPr>
        <w:t>中华人民共和国疫苗管理法》及相关配套政策，探索制定相关地方性法规。构建天津市药品智慧监管云平台，实现与国家药监局业务网络的互联互通。</w:t>
      </w:r>
      <w:bookmarkStart w:id="42" w:name="_Toc65837404"/>
    </w:p>
    <w:p w:rsidR="002C2F4D" w:rsidRDefault="002C2F4D">
      <w:pPr>
        <w:adjustRightInd w:val="0"/>
        <w:jc w:val="center"/>
        <w:outlineLvl w:val="0"/>
        <w:rPr>
          <w:rFonts w:ascii="黑体" w:eastAsia="黑体"/>
          <w:bCs/>
          <w:kern w:val="0"/>
          <w:sz w:val="32"/>
          <w:szCs w:val="32"/>
        </w:rPr>
      </w:pPr>
    </w:p>
    <w:p w:rsidR="002C2F4D" w:rsidRDefault="00061D81">
      <w:pPr>
        <w:adjustRightInd w:val="0"/>
        <w:jc w:val="center"/>
        <w:outlineLvl w:val="0"/>
        <w:rPr>
          <w:rFonts w:ascii="方正小标宋_GBK" w:eastAsia="方正小标宋_GBK" w:hAnsi="方正小标宋_GBK" w:cs="方正小标宋_GBK"/>
          <w:bCs/>
          <w:kern w:val="0"/>
          <w:sz w:val="32"/>
          <w:szCs w:val="32"/>
        </w:rPr>
      </w:pPr>
      <w:r>
        <w:rPr>
          <w:rFonts w:ascii="方正小标宋_GBK" w:eastAsia="方正小标宋_GBK" w:hAnsi="方正小标宋_GBK" w:cs="方正小标宋_GBK" w:hint="eastAsia"/>
          <w:bCs/>
          <w:kern w:val="0"/>
          <w:sz w:val="32"/>
          <w:szCs w:val="32"/>
        </w:rPr>
        <w:t>第七章</w:t>
      </w:r>
      <w:r>
        <w:rPr>
          <w:rFonts w:ascii="方正小标宋_GBK" w:eastAsia="方正小标宋_GBK" w:hAnsi="方正小标宋_GBK" w:cs="方正小标宋_GBK" w:hint="eastAsia"/>
          <w:bCs/>
          <w:kern w:val="0"/>
          <w:sz w:val="32"/>
          <w:szCs w:val="32"/>
        </w:rPr>
        <w:t xml:space="preserve">  </w:t>
      </w:r>
      <w:r>
        <w:rPr>
          <w:rFonts w:ascii="方正小标宋_GBK" w:eastAsia="方正小标宋_GBK" w:hAnsi="方正小标宋_GBK" w:cs="方正小标宋_GBK" w:hint="eastAsia"/>
          <w:bCs/>
          <w:kern w:val="0"/>
          <w:sz w:val="32"/>
          <w:szCs w:val="32"/>
        </w:rPr>
        <w:t>基本住房保障</w:t>
      </w:r>
      <w:bookmarkEnd w:id="42"/>
    </w:p>
    <w:p w:rsidR="002C2F4D" w:rsidRDefault="002C2F4D">
      <w:pPr>
        <w:adjustRightInd w:val="0"/>
        <w:jc w:val="center"/>
        <w:outlineLvl w:val="2"/>
        <w:rPr>
          <w:kern w:val="0"/>
          <w:sz w:val="32"/>
          <w:szCs w:val="32"/>
        </w:rPr>
      </w:pPr>
      <w:bookmarkStart w:id="43" w:name="_Toc65837405"/>
    </w:p>
    <w:p w:rsidR="002C2F4D" w:rsidRDefault="00061D81">
      <w:pPr>
        <w:adjustRightInd w:val="0"/>
        <w:jc w:val="center"/>
        <w:outlineLvl w:val="2"/>
        <w:rPr>
          <w:rFonts w:ascii="黑体" w:eastAsia="黑体" w:hAnsi="黑体" w:cs="黑体"/>
          <w:kern w:val="0"/>
          <w:sz w:val="32"/>
          <w:szCs w:val="32"/>
        </w:rPr>
      </w:pPr>
      <w:r>
        <w:rPr>
          <w:rFonts w:ascii="黑体" w:eastAsia="黑体" w:hAnsi="黑体" w:cs="黑体" w:hint="eastAsia"/>
          <w:kern w:val="0"/>
          <w:sz w:val="32"/>
          <w:szCs w:val="32"/>
        </w:rPr>
        <w:t>第一节</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重点任务</w:t>
      </w:r>
      <w:bookmarkEnd w:id="43"/>
    </w:p>
    <w:p w:rsidR="002C2F4D" w:rsidRDefault="002C2F4D">
      <w:pPr>
        <w:adjustRightInd w:val="0"/>
        <w:jc w:val="center"/>
        <w:outlineLvl w:val="2"/>
        <w:rPr>
          <w:kern w:val="0"/>
          <w:sz w:val="32"/>
          <w:szCs w:val="32"/>
        </w:rPr>
      </w:pP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sz w:val="32"/>
          <w:szCs w:val="32"/>
        </w:rPr>
        <w:t>持续深化农村困难群众危房改造。</w:t>
      </w:r>
      <w:r>
        <w:rPr>
          <w:rFonts w:ascii="仿宋_GB2312" w:eastAsia="仿宋_GB2312" w:hint="eastAsia"/>
          <w:sz w:val="32"/>
          <w:szCs w:val="32"/>
        </w:rPr>
        <w:t>探索建立农村困难群众住房保障长效机制，为推进乡村全面振兴提供坚实保障。全面落实安全发展理念，以用作经营的农村自建房为重点，有序开展农村房屋安全隐患排查整治。结合全国第一次自然灾害综合风险普查，推动实施地震易发区房屋设施加固工程，提高农村房屋抗震能力。推广节能保温技术及材料</w:t>
      </w:r>
      <w:r>
        <w:rPr>
          <w:rFonts w:ascii="仿宋_GB2312" w:eastAsia="仿宋_GB2312" w:hint="eastAsia"/>
          <w:sz w:val="32"/>
          <w:szCs w:val="32"/>
        </w:rPr>
        <w:t>应用</w:t>
      </w:r>
      <w:r>
        <w:rPr>
          <w:rFonts w:ascii="仿宋_GB2312" w:eastAsia="仿宋_GB2312" w:hint="eastAsia"/>
          <w:sz w:val="32"/>
          <w:szCs w:val="32"/>
        </w:rPr>
        <w:t>，</w:t>
      </w:r>
      <w:r>
        <w:rPr>
          <w:rFonts w:ascii="仿宋_GB2312" w:eastAsia="仿宋_GB2312" w:hint="eastAsia"/>
          <w:sz w:val="32"/>
          <w:szCs w:val="32"/>
        </w:rPr>
        <w:t>提高农村住房的节能保温性能和冬季清洁取暖效果。</w:t>
      </w:r>
      <w:r>
        <w:rPr>
          <w:rFonts w:ascii="仿宋_GB2312" w:eastAsia="仿宋_GB2312" w:hAnsi="宋体" w:cs="宋体" w:hint="eastAsia"/>
          <w:kern w:val="0"/>
          <w:sz w:val="32"/>
          <w:szCs w:val="32"/>
        </w:rPr>
        <w:t>结合整建制村镇拆除重建</w:t>
      </w:r>
      <w:r>
        <w:rPr>
          <w:rFonts w:ascii="仿宋_GB2312" w:eastAsia="仿宋_GB2312" w:hAnsi="宋体" w:cs="宋体" w:hint="eastAsia"/>
          <w:kern w:val="0"/>
          <w:sz w:val="32"/>
          <w:szCs w:val="32"/>
        </w:rPr>
        <w:t>，</w:t>
      </w:r>
      <w:r>
        <w:rPr>
          <w:rFonts w:ascii="仿宋_GB2312" w:eastAsia="仿宋_GB2312" w:hint="eastAsia"/>
          <w:sz w:val="32"/>
          <w:szCs w:val="32"/>
        </w:rPr>
        <w:t>打造</w:t>
      </w:r>
      <w:r>
        <w:rPr>
          <w:rFonts w:ascii="仿宋_GB2312" w:eastAsia="仿宋_GB2312" w:hint="eastAsia"/>
          <w:sz w:val="32"/>
          <w:szCs w:val="32"/>
        </w:rPr>
        <w:t>将农房抗震、节能等融于一体的典型村镇</w:t>
      </w:r>
      <w:r>
        <w:rPr>
          <w:rFonts w:ascii="仿宋_GB2312" w:eastAsia="仿宋_GB2312" w:hAnsi="宋体" w:cs="宋体"/>
          <w:kern w:val="0"/>
          <w:sz w:val="32"/>
          <w:szCs w:val="32"/>
        </w:rPr>
        <w:t>。</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sz w:val="32"/>
          <w:szCs w:val="32"/>
        </w:rPr>
        <w:t>完善住房保障管理。</w:t>
      </w:r>
      <w:r>
        <w:rPr>
          <w:rFonts w:ascii="仿宋_GB2312" w:eastAsia="仿宋_GB2312" w:hAnsi="宋体" w:cs="宋体" w:hint="eastAsia"/>
          <w:kern w:val="0"/>
          <w:sz w:val="32"/>
          <w:szCs w:val="32"/>
        </w:rPr>
        <w:t>通过实物保障和租赁补贴，对城镇中低收入住房困难家庭应保尽保，对环卫、公交系统非津户籍住房困难家庭精准保</w:t>
      </w:r>
      <w:r>
        <w:rPr>
          <w:rFonts w:ascii="仿宋_GB2312" w:eastAsia="仿宋_GB2312" w:hAnsi="宋体" w:cs="宋体" w:hint="eastAsia"/>
          <w:kern w:val="0"/>
          <w:sz w:val="32"/>
          <w:szCs w:val="32"/>
        </w:rPr>
        <w:t>障。完善本市租赁住房补贴相关政策，做好租房补贴发放工作。提升信息化管理水平，完善失信联合惩戒机制。</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sz w:val="32"/>
          <w:szCs w:val="32"/>
        </w:rPr>
        <w:t>加强无障碍环境设计。</w:t>
      </w:r>
      <w:r>
        <w:rPr>
          <w:rFonts w:ascii="仿宋_GB2312" w:eastAsia="仿宋_GB2312" w:hAnsi="宋体" w:cs="宋体" w:hint="eastAsia"/>
          <w:kern w:val="0"/>
          <w:sz w:val="32"/>
          <w:szCs w:val="32"/>
        </w:rPr>
        <w:t>持续推进无障碍设施与房屋建筑、市政基础设施同步设计。严格落实无障碍设计规范、天津市无障碍设计标准等要求，严格执行工程建设强制性标准。要求施工图审查机构将无障碍设计作为重要审查内容，按照相关规范标准要求实施严格审查。组织对无障碍设计情况进行检查，加强事中事后监管，切实保障无障碍设计质量。</w:t>
      </w:r>
    </w:p>
    <w:p w:rsidR="002C2F4D" w:rsidRDefault="002C2F4D">
      <w:pPr>
        <w:adjustRightInd w:val="0"/>
        <w:rPr>
          <w:rFonts w:ascii="仿宋_GB2312" w:eastAsia="仿宋_GB2312" w:hAnsi="宋体" w:cs="宋体"/>
          <w:kern w:val="0"/>
          <w:sz w:val="32"/>
          <w:szCs w:val="32"/>
        </w:rPr>
      </w:pPr>
    </w:p>
    <w:p w:rsidR="002C2F4D" w:rsidRDefault="00061D81">
      <w:pPr>
        <w:adjustRightInd w:val="0"/>
        <w:jc w:val="center"/>
        <w:outlineLvl w:val="2"/>
        <w:rPr>
          <w:rFonts w:ascii="黑体" w:eastAsia="黑体" w:hAnsi="黑体" w:cs="黑体"/>
          <w:kern w:val="0"/>
          <w:sz w:val="32"/>
          <w:szCs w:val="32"/>
        </w:rPr>
      </w:pPr>
      <w:bookmarkStart w:id="44" w:name="_Toc65837406"/>
      <w:r>
        <w:rPr>
          <w:rFonts w:ascii="黑体" w:eastAsia="黑体" w:hAnsi="黑体" w:cs="黑体" w:hint="eastAsia"/>
          <w:kern w:val="0"/>
          <w:sz w:val="32"/>
          <w:szCs w:val="32"/>
        </w:rPr>
        <w:t>第二节</w:t>
      </w:r>
      <w:r>
        <w:rPr>
          <w:rFonts w:ascii="黑体" w:eastAsia="黑体" w:hAnsi="黑体" w:cs="黑体" w:hint="eastAsia"/>
          <w:kern w:val="0"/>
          <w:sz w:val="32"/>
          <w:szCs w:val="32"/>
        </w:rPr>
        <w:t xml:space="preserve">  </w:t>
      </w:r>
      <w:r>
        <w:rPr>
          <w:rFonts w:ascii="黑体" w:eastAsia="黑体" w:hAnsi="黑体" w:cs="黑体" w:hint="eastAsia"/>
          <w:kern w:val="0"/>
          <w:sz w:val="32"/>
          <w:szCs w:val="32"/>
        </w:rPr>
        <w:t>基本标准</w:t>
      </w:r>
      <w:bookmarkEnd w:id="44"/>
    </w:p>
    <w:p w:rsidR="002C2F4D" w:rsidRDefault="002C2F4D">
      <w:pPr>
        <w:adjustRightInd w:val="0"/>
        <w:jc w:val="center"/>
        <w:outlineLvl w:val="2"/>
        <w:rPr>
          <w:rFonts w:ascii="黑体" w:eastAsia="黑体" w:hAnsi="黑体" w:cs="黑体"/>
          <w:kern w:val="0"/>
          <w:sz w:val="32"/>
          <w:szCs w:val="32"/>
        </w:rPr>
      </w:pPr>
    </w:p>
    <w:p w:rsidR="002C2F4D" w:rsidRDefault="00061D81" w:rsidP="00FA6DB5">
      <w:pPr>
        <w:adjustRightInd w:val="0"/>
        <w:ind w:firstLineChars="200" w:firstLine="622"/>
        <w:rPr>
          <w:rFonts w:ascii="仿宋_GB2312" w:eastAsia="仿宋_GB2312" w:hAnsi="宋体" w:cs="宋体"/>
          <w:kern w:val="0"/>
          <w:sz w:val="32"/>
          <w:szCs w:val="32"/>
        </w:rPr>
      </w:pPr>
      <w:r>
        <w:rPr>
          <w:rFonts w:ascii="仿宋_GB2312" w:eastAsia="仿宋_GB2312" w:hAnsi="宋体" w:cs="宋体" w:hint="eastAsia"/>
          <w:kern w:val="0"/>
          <w:sz w:val="32"/>
          <w:szCs w:val="32"/>
        </w:rPr>
        <w:t>以基本住房保障服务国家基本标准为基础，结合本市实际情况，制定“十四五”时期天津市</w:t>
      </w:r>
      <w:r>
        <w:rPr>
          <w:rFonts w:ascii="仿宋_GB2312" w:eastAsia="仿宋_GB2312" w:hAnsi="宋体" w:cs="宋体" w:hint="eastAsia"/>
          <w:kern w:val="0"/>
          <w:sz w:val="32"/>
          <w:szCs w:val="32"/>
        </w:rPr>
        <w:t>基本住房保障服务基本标准。</w:t>
      </w:r>
    </w:p>
    <w:p w:rsidR="002C2F4D" w:rsidRDefault="00061D81" w:rsidP="00FA6DB5">
      <w:pPr>
        <w:adjustRightInd w:val="0"/>
        <w:spacing w:beforeLines="50" w:before="144"/>
        <w:jc w:val="center"/>
        <w:rPr>
          <w:rFonts w:ascii="黑体" w:eastAsia="黑体" w:hAnsi="黑体" w:cs="黑体"/>
          <w:bCs/>
          <w:kern w:val="0"/>
          <w:sz w:val="32"/>
          <w:szCs w:val="32"/>
        </w:rPr>
      </w:pPr>
      <w:r>
        <w:rPr>
          <w:rFonts w:ascii="黑体" w:eastAsia="黑体" w:hAnsi="黑体" w:cs="黑体" w:hint="eastAsia"/>
          <w:bCs/>
          <w:sz w:val="32"/>
          <w:szCs w:val="32"/>
        </w:rPr>
        <w:t>“十四五”时期天津市</w:t>
      </w:r>
      <w:r>
        <w:rPr>
          <w:rFonts w:ascii="黑体" w:eastAsia="黑体" w:hAnsi="黑体" w:cs="黑体" w:hint="eastAsia"/>
          <w:bCs/>
          <w:kern w:val="0"/>
          <w:sz w:val="32"/>
          <w:szCs w:val="32"/>
        </w:rPr>
        <w:t>基本住房保障服务基本标准</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1"/>
        <w:gridCol w:w="2382"/>
        <w:gridCol w:w="3063"/>
        <w:gridCol w:w="1838"/>
        <w:gridCol w:w="1453"/>
      </w:tblGrid>
      <w:tr w:rsidR="002C2F4D">
        <w:trPr>
          <w:cantSplit/>
          <w:trHeight w:val="501"/>
          <w:tblHeader/>
          <w:jc w:val="center"/>
        </w:trPr>
        <w:tc>
          <w:tcPr>
            <w:tcW w:w="1221"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服务项目</w:t>
            </w:r>
          </w:p>
        </w:tc>
        <w:tc>
          <w:tcPr>
            <w:tcW w:w="2382"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服务对象</w:t>
            </w:r>
          </w:p>
        </w:tc>
        <w:tc>
          <w:tcPr>
            <w:tcW w:w="3063"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保障标准</w:t>
            </w:r>
          </w:p>
        </w:tc>
        <w:tc>
          <w:tcPr>
            <w:tcW w:w="1838"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支出责任</w:t>
            </w:r>
          </w:p>
        </w:tc>
        <w:tc>
          <w:tcPr>
            <w:tcW w:w="1453"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覆盖水平</w:t>
            </w:r>
          </w:p>
        </w:tc>
      </w:tr>
      <w:tr w:rsidR="002C2F4D">
        <w:trPr>
          <w:trHeight w:val="1733"/>
          <w:jc w:val="center"/>
        </w:trPr>
        <w:tc>
          <w:tcPr>
            <w:tcW w:w="1221"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农村困难群众危房改造</w:t>
            </w:r>
          </w:p>
        </w:tc>
        <w:tc>
          <w:tcPr>
            <w:tcW w:w="2382"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唯一住房是危房的分散供养特困人员、低保户、困难残疾人户、因灾倒损户、其他困难户</w:t>
            </w:r>
          </w:p>
        </w:tc>
        <w:tc>
          <w:tcPr>
            <w:tcW w:w="3063"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对符合条件的农村困难群众危房实施改造，补贴标准按照本市农村危房改造有关政策执行，并随经济发展水平动态调整。</w:t>
            </w:r>
          </w:p>
        </w:tc>
        <w:tc>
          <w:tcPr>
            <w:tcW w:w="1838"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市、区财政负担，中央适当补助。</w:t>
            </w:r>
          </w:p>
        </w:tc>
        <w:tc>
          <w:tcPr>
            <w:tcW w:w="1453"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符合条件家庭应保尽保</w:t>
            </w:r>
          </w:p>
        </w:tc>
      </w:tr>
      <w:tr w:rsidR="002C2F4D">
        <w:trPr>
          <w:trHeight w:val="1731"/>
          <w:jc w:val="center"/>
        </w:trPr>
        <w:tc>
          <w:tcPr>
            <w:tcW w:w="1221"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公租房保障</w:t>
            </w:r>
          </w:p>
        </w:tc>
        <w:tc>
          <w:tcPr>
            <w:tcW w:w="2382"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城镇中低收入住房困难家庭，本市环卫、公交系统非津户籍住房困难家庭</w:t>
            </w:r>
          </w:p>
        </w:tc>
        <w:tc>
          <w:tcPr>
            <w:tcW w:w="3063"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实物保障与租赁补贴并举，按照本市住房租赁补贴或实物保障有关政策执行。相关标准按照本市有关政策适时调整。</w:t>
            </w:r>
          </w:p>
        </w:tc>
        <w:tc>
          <w:tcPr>
            <w:tcW w:w="1838"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市、区财政负担，中央适当补助。</w:t>
            </w:r>
          </w:p>
        </w:tc>
        <w:tc>
          <w:tcPr>
            <w:tcW w:w="1453" w:type="dxa"/>
            <w:tcBorders>
              <w:top w:val="single" w:sz="4" w:space="0" w:color="auto"/>
              <w:left w:val="single" w:sz="4" w:space="0" w:color="auto"/>
              <w:bottom w:val="single" w:sz="4" w:space="0" w:color="auto"/>
              <w:right w:val="single" w:sz="4" w:space="0" w:color="auto"/>
            </w:tcBorders>
            <w:shd w:val="clear" w:color="000000" w:fill="auto"/>
            <w:vAlign w:val="center"/>
          </w:tcPr>
          <w:p w:rsidR="002C2F4D" w:rsidRDefault="00061D81">
            <w:pPr>
              <w:adjustRightInd w:val="0"/>
              <w:snapToGrid w:val="0"/>
              <w:rPr>
                <w:rFonts w:eastAsia="仿宋_GB2312"/>
                <w:kern w:val="0"/>
                <w:sz w:val="24"/>
              </w:rPr>
            </w:pPr>
            <w:r>
              <w:rPr>
                <w:rFonts w:eastAsia="仿宋_GB2312" w:hint="eastAsia"/>
                <w:kern w:val="0"/>
                <w:sz w:val="24"/>
              </w:rPr>
              <w:t>符合条件家庭应保尽保</w:t>
            </w:r>
          </w:p>
        </w:tc>
      </w:tr>
    </w:tbl>
    <w:p w:rsidR="002C2F4D" w:rsidRDefault="002C2F4D">
      <w:pPr>
        <w:adjustRightInd w:val="0"/>
        <w:jc w:val="center"/>
        <w:outlineLvl w:val="2"/>
        <w:rPr>
          <w:b/>
          <w:bCs/>
          <w:kern w:val="0"/>
          <w:sz w:val="32"/>
          <w:szCs w:val="32"/>
        </w:rPr>
      </w:pPr>
      <w:bookmarkStart w:id="45" w:name="_Toc65837407"/>
    </w:p>
    <w:p w:rsidR="002C2F4D" w:rsidRDefault="00061D81">
      <w:pPr>
        <w:adjustRightInd w:val="0"/>
        <w:jc w:val="center"/>
        <w:outlineLvl w:val="2"/>
        <w:rPr>
          <w:rFonts w:ascii="黑体" w:eastAsia="黑体" w:hAnsi="黑体" w:cs="黑体"/>
          <w:kern w:val="0"/>
          <w:sz w:val="32"/>
          <w:szCs w:val="32"/>
        </w:rPr>
      </w:pPr>
      <w:r>
        <w:rPr>
          <w:rFonts w:ascii="黑体" w:eastAsia="黑体" w:hAnsi="黑体" w:cs="黑体" w:hint="eastAsia"/>
          <w:kern w:val="0"/>
          <w:sz w:val="32"/>
          <w:szCs w:val="32"/>
        </w:rPr>
        <w:t>第三节</w:t>
      </w:r>
      <w:r>
        <w:rPr>
          <w:rFonts w:ascii="黑体" w:eastAsia="黑体" w:hAnsi="黑体" w:cs="黑体" w:hint="eastAsia"/>
          <w:kern w:val="0"/>
          <w:sz w:val="32"/>
          <w:szCs w:val="32"/>
        </w:rPr>
        <w:t xml:space="preserve"> </w:t>
      </w:r>
      <w:r>
        <w:rPr>
          <w:rFonts w:ascii="黑体" w:eastAsia="黑体" w:hAnsi="黑体" w:cs="黑体"/>
          <w:kern w:val="0"/>
          <w:sz w:val="32"/>
          <w:szCs w:val="32"/>
        </w:rPr>
        <w:t xml:space="preserve"> </w:t>
      </w:r>
      <w:r>
        <w:rPr>
          <w:rFonts w:ascii="黑体" w:eastAsia="黑体" w:hAnsi="黑体" w:cs="黑体" w:hint="eastAsia"/>
          <w:kern w:val="0"/>
          <w:sz w:val="32"/>
          <w:szCs w:val="32"/>
        </w:rPr>
        <w:t>保障工程</w:t>
      </w:r>
      <w:bookmarkEnd w:id="45"/>
    </w:p>
    <w:p w:rsidR="002C2F4D" w:rsidRDefault="002C2F4D">
      <w:pPr>
        <w:adjustRightInd w:val="0"/>
        <w:rPr>
          <w:rFonts w:ascii="仿宋_GB2312" w:eastAsia="仿宋_GB2312" w:hAnsi="宋体" w:cs="宋体"/>
          <w:b/>
          <w:kern w:val="0"/>
          <w:sz w:val="32"/>
          <w:szCs w:val="32"/>
        </w:rPr>
      </w:pPr>
    </w:p>
    <w:p w:rsidR="002C2F4D" w:rsidRDefault="00061D81" w:rsidP="00FA6DB5">
      <w:pPr>
        <w:adjustRightInd w:val="0"/>
        <w:ind w:firstLineChars="200" w:firstLine="622"/>
        <w:rPr>
          <w:rFonts w:ascii="仿宋_GB2312" w:eastAsia="仿宋_GB2312" w:hAnsi="宋体" w:cs="宋体"/>
          <w:snapToGrid w:val="0"/>
          <w:kern w:val="0"/>
          <w:sz w:val="32"/>
          <w:szCs w:val="32"/>
        </w:rPr>
      </w:pPr>
      <w:r>
        <w:rPr>
          <w:rFonts w:ascii="楷体_GB2312" w:eastAsia="楷体_GB2312" w:hAnsi="楷体_GB2312" w:cs="楷体_GB2312" w:hint="eastAsia"/>
          <w:bCs/>
          <w:kern w:val="0"/>
          <w:sz w:val="32"/>
          <w:szCs w:val="32"/>
        </w:rPr>
        <w:t>完善住房保障政策资金支持体系。</w:t>
      </w:r>
      <w:r>
        <w:rPr>
          <w:rFonts w:ascii="仿宋_GB2312" w:eastAsia="仿宋_GB2312" w:hAnsi="宋体" w:cs="宋体" w:hint="eastAsia"/>
          <w:kern w:val="0"/>
          <w:sz w:val="32"/>
          <w:szCs w:val="32"/>
        </w:rPr>
        <w:t>土地出让金政府净收益用于城镇保障性安居工程支出比例不低于</w:t>
      </w:r>
      <w:r>
        <w:rPr>
          <w:rFonts w:eastAsia="仿宋_GB2312"/>
          <w:kern w:val="0"/>
          <w:sz w:val="32"/>
          <w:szCs w:val="32"/>
        </w:rPr>
        <w:t>10%</w:t>
      </w:r>
      <w:r>
        <w:rPr>
          <w:rFonts w:ascii="仿宋_GB2312" w:eastAsia="仿宋_GB2312" w:hAnsi="宋体" w:cs="宋体" w:hint="eastAsia"/>
          <w:kern w:val="0"/>
          <w:sz w:val="32"/>
          <w:szCs w:val="32"/>
        </w:rPr>
        <w:t>。</w:t>
      </w:r>
      <w:r>
        <w:rPr>
          <w:rFonts w:ascii="仿宋_GB2312" w:eastAsia="仿宋_GB2312" w:hAnsi="宋体" w:cs="宋体"/>
          <w:kern w:val="0"/>
          <w:sz w:val="32"/>
          <w:szCs w:val="32"/>
        </w:rPr>
        <w:t>住房公积金增值收益扣除管理费和风险准备金后的资金全部用于住房保障工作。鼓励金融机构为保障性安居工程项目发放中长期贷款，鼓励符合规定的政府投融资平台和其他企业发行企业债券或者中期</w:t>
      </w:r>
      <w:r>
        <w:rPr>
          <w:rFonts w:ascii="仿宋_GB2312" w:eastAsia="仿宋_GB2312" w:hAnsi="宋体" w:cs="宋体" w:hint="eastAsia"/>
          <w:snapToGrid w:val="0"/>
          <w:kern w:val="0"/>
          <w:sz w:val="32"/>
          <w:szCs w:val="32"/>
        </w:rPr>
        <w:t>票据募集资金。</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bCs/>
          <w:kern w:val="0"/>
          <w:sz w:val="32"/>
          <w:szCs w:val="32"/>
        </w:rPr>
        <w:t>完</w:t>
      </w:r>
      <w:r>
        <w:rPr>
          <w:rFonts w:ascii="楷体_GB2312" w:eastAsia="楷体_GB2312" w:hAnsi="楷体_GB2312" w:cs="楷体_GB2312" w:hint="eastAsia"/>
          <w:bCs/>
          <w:spacing w:val="4"/>
          <w:kern w:val="0"/>
          <w:sz w:val="32"/>
          <w:szCs w:val="32"/>
        </w:rPr>
        <w:t>善适应改造需要的标准体系。</w:t>
      </w:r>
      <w:r>
        <w:rPr>
          <w:rFonts w:ascii="仿宋_GB2312" w:eastAsia="仿宋_GB2312" w:hAnsi="宋体" w:cs="宋体" w:hint="eastAsia"/>
          <w:spacing w:val="4"/>
          <w:kern w:val="0"/>
          <w:sz w:val="32"/>
          <w:szCs w:val="32"/>
        </w:rPr>
        <w:t>组织编制农村住房建设通用设计图集，完善农村住房建设领域标准规范。提升农村住房信息化管理水平</w:t>
      </w:r>
      <w:r>
        <w:rPr>
          <w:rFonts w:ascii="仿宋_GB2312" w:eastAsia="仿宋_GB2312" w:hAnsi="宋体" w:cs="宋体" w:hint="eastAsia"/>
          <w:spacing w:val="4"/>
          <w:kern w:val="0"/>
          <w:sz w:val="32"/>
          <w:szCs w:val="32"/>
        </w:rPr>
        <w:t>，</w:t>
      </w:r>
      <w:r>
        <w:rPr>
          <w:rFonts w:ascii="仿宋_GB2312" w:eastAsia="仿宋_GB2312" w:hAnsi="宋体" w:cs="宋体"/>
          <w:spacing w:val="4"/>
          <w:kern w:val="0"/>
          <w:sz w:val="32"/>
          <w:szCs w:val="32"/>
        </w:rPr>
        <w:t>研究建立天津市农村住房信息管理系统。研究制定农村住房建设管理有关制度，推动出台</w:t>
      </w:r>
      <w:r>
        <w:rPr>
          <w:rFonts w:ascii="仿宋_GB2312" w:eastAsia="仿宋_GB2312" w:hAnsi="宋体" w:cs="宋体" w:hint="eastAsia"/>
          <w:spacing w:val="4"/>
          <w:kern w:val="0"/>
          <w:sz w:val="32"/>
          <w:szCs w:val="32"/>
        </w:rPr>
        <w:t>本</w:t>
      </w:r>
      <w:r>
        <w:rPr>
          <w:rFonts w:ascii="仿宋_GB2312" w:eastAsia="仿宋_GB2312" w:hAnsi="宋体" w:cs="宋体"/>
          <w:spacing w:val="4"/>
          <w:kern w:val="0"/>
          <w:sz w:val="32"/>
          <w:szCs w:val="32"/>
        </w:rPr>
        <w:t>市农村住房建设管理办法。</w:t>
      </w:r>
      <w:r>
        <w:rPr>
          <w:rFonts w:ascii="仿宋_GB2312" w:eastAsia="仿宋_GB2312" w:hint="eastAsia"/>
          <w:spacing w:val="4"/>
          <w:sz w:val="32"/>
          <w:szCs w:val="32"/>
        </w:rPr>
        <w:t>推进农房节能改造试点示范</w:t>
      </w:r>
      <w:r>
        <w:rPr>
          <w:rFonts w:ascii="仿宋_GB2312" w:eastAsia="仿宋_GB2312" w:hint="eastAsia"/>
          <w:spacing w:val="4"/>
          <w:sz w:val="32"/>
          <w:szCs w:val="32"/>
        </w:rPr>
        <w:t>，</w:t>
      </w:r>
      <w:r>
        <w:rPr>
          <w:rFonts w:ascii="仿宋_GB2312" w:eastAsia="仿宋_GB2312" w:hint="eastAsia"/>
          <w:spacing w:val="4"/>
          <w:sz w:val="32"/>
          <w:szCs w:val="32"/>
        </w:rPr>
        <w:t>研究制定</w:t>
      </w:r>
      <w:r>
        <w:rPr>
          <w:rFonts w:ascii="仿宋_GB2312" w:eastAsia="仿宋_GB2312" w:hint="eastAsia"/>
          <w:spacing w:val="4"/>
          <w:sz w:val="32"/>
          <w:szCs w:val="32"/>
        </w:rPr>
        <w:t>农房建筑节能标准</w:t>
      </w:r>
      <w:r>
        <w:rPr>
          <w:rFonts w:ascii="仿宋_GB2312" w:eastAsia="仿宋_GB2312" w:hAnsi="宋体" w:cs="宋体" w:hint="eastAsia"/>
          <w:spacing w:val="4"/>
          <w:kern w:val="0"/>
          <w:sz w:val="32"/>
          <w:szCs w:val="32"/>
        </w:rPr>
        <w:t>。</w:t>
      </w:r>
      <w:bookmarkStart w:id="46" w:name="_Toc65837408"/>
    </w:p>
    <w:p w:rsidR="002C2F4D" w:rsidRDefault="002C2F4D">
      <w:pPr>
        <w:adjustRightInd w:val="0"/>
        <w:jc w:val="left"/>
        <w:rPr>
          <w:rFonts w:ascii="仿宋_GB2312" w:eastAsia="仿宋_GB2312" w:hAnsi="宋体" w:cs="宋体"/>
          <w:kern w:val="0"/>
          <w:sz w:val="32"/>
          <w:szCs w:val="32"/>
        </w:rPr>
      </w:pPr>
    </w:p>
    <w:p w:rsidR="002C2F4D" w:rsidRDefault="00061D81">
      <w:pPr>
        <w:adjustRightInd w:val="0"/>
        <w:jc w:val="center"/>
        <w:outlineLvl w:val="0"/>
        <w:rPr>
          <w:rFonts w:ascii="方正小标宋_GBK" w:eastAsia="方正小标宋_GBK" w:hAnsi="方正小标宋_GBK" w:cs="方正小标宋_GBK"/>
          <w:bCs/>
          <w:kern w:val="0"/>
          <w:sz w:val="32"/>
          <w:szCs w:val="32"/>
        </w:rPr>
      </w:pPr>
      <w:r>
        <w:rPr>
          <w:rFonts w:ascii="方正小标宋_GBK" w:eastAsia="方正小标宋_GBK" w:hAnsi="方正小标宋_GBK" w:cs="方正小标宋_GBK" w:hint="eastAsia"/>
          <w:bCs/>
          <w:kern w:val="0"/>
          <w:sz w:val="32"/>
          <w:szCs w:val="32"/>
        </w:rPr>
        <w:t>第八章</w:t>
      </w:r>
      <w:r>
        <w:rPr>
          <w:rFonts w:ascii="方正小标宋_GBK" w:eastAsia="方正小标宋_GBK" w:hAnsi="方正小标宋_GBK" w:cs="方正小标宋_GBK" w:hint="eastAsia"/>
          <w:bCs/>
          <w:kern w:val="0"/>
          <w:sz w:val="32"/>
          <w:szCs w:val="32"/>
        </w:rPr>
        <w:t xml:space="preserve">  </w:t>
      </w:r>
      <w:r>
        <w:rPr>
          <w:rFonts w:ascii="方正小标宋_GBK" w:eastAsia="方正小标宋_GBK" w:hAnsi="方正小标宋_GBK" w:cs="方正小标宋_GBK" w:hint="eastAsia"/>
          <w:bCs/>
          <w:kern w:val="0"/>
          <w:sz w:val="32"/>
          <w:szCs w:val="32"/>
        </w:rPr>
        <w:t>基本公共文化体育</w:t>
      </w:r>
      <w:bookmarkEnd w:id="46"/>
    </w:p>
    <w:p w:rsidR="002C2F4D" w:rsidRDefault="002C2F4D">
      <w:pPr>
        <w:pStyle w:val="3"/>
        <w:keepNext w:val="0"/>
        <w:keepLines w:val="0"/>
        <w:adjustRightInd w:val="0"/>
        <w:spacing w:before="0" w:after="0" w:line="240" w:lineRule="auto"/>
        <w:jc w:val="center"/>
      </w:pPr>
      <w:bookmarkStart w:id="47" w:name="_Toc65837409"/>
    </w:p>
    <w:p w:rsidR="002C2F4D" w:rsidRDefault="00061D81">
      <w:pPr>
        <w:pStyle w:val="3"/>
        <w:keepNext w:val="0"/>
        <w:keepLines w:val="0"/>
        <w:adjustRightInd w:val="0"/>
        <w:spacing w:before="0" w:after="0" w:line="240" w:lineRule="auto"/>
        <w:jc w:val="center"/>
        <w:rPr>
          <w:rFonts w:ascii="黑体" w:eastAsia="黑体" w:hAnsi="黑体" w:cs="黑体"/>
          <w:b w:val="0"/>
          <w:bCs w:val="0"/>
        </w:rPr>
      </w:pPr>
      <w:r>
        <w:rPr>
          <w:rFonts w:ascii="黑体" w:eastAsia="黑体" w:hAnsi="黑体" w:cs="黑体" w:hint="eastAsia"/>
          <w:b w:val="0"/>
          <w:bCs w:val="0"/>
        </w:rPr>
        <w:t>第一节</w:t>
      </w:r>
      <w:r>
        <w:rPr>
          <w:rFonts w:ascii="黑体" w:eastAsia="黑体" w:hAnsi="黑体" w:cs="黑体" w:hint="eastAsia"/>
          <w:b w:val="0"/>
          <w:bCs w:val="0"/>
        </w:rPr>
        <w:t xml:space="preserve">  </w:t>
      </w:r>
      <w:r>
        <w:rPr>
          <w:rFonts w:ascii="黑体" w:eastAsia="黑体" w:hAnsi="黑体" w:cs="黑体" w:hint="eastAsia"/>
          <w:b w:val="0"/>
          <w:bCs w:val="0"/>
        </w:rPr>
        <w:t>重点任务</w:t>
      </w:r>
      <w:bookmarkEnd w:id="47"/>
    </w:p>
    <w:p w:rsidR="002C2F4D" w:rsidRDefault="002C2F4D">
      <w:pPr>
        <w:adjustRightInd w:val="0"/>
        <w:rPr>
          <w:sz w:val="32"/>
          <w:szCs w:val="32"/>
        </w:rPr>
      </w:pPr>
    </w:p>
    <w:p w:rsidR="002C2F4D" w:rsidRDefault="00061D81" w:rsidP="00FA6DB5">
      <w:pPr>
        <w:adjustRightInd w:val="0"/>
        <w:ind w:firstLineChars="200" w:firstLine="622"/>
        <w:rPr>
          <w:rFonts w:eastAsia="仿宋_GB2312"/>
          <w:bCs/>
          <w:kern w:val="0"/>
          <w:sz w:val="32"/>
          <w:szCs w:val="32"/>
        </w:rPr>
      </w:pPr>
      <w:r>
        <w:rPr>
          <w:rFonts w:ascii="楷体_GB2312" w:eastAsia="楷体_GB2312" w:hAnsi="楷体_GB2312" w:cs="楷体_GB2312" w:hint="eastAsia"/>
          <w:sz w:val="32"/>
          <w:szCs w:val="32"/>
        </w:rPr>
        <w:t>完善</w:t>
      </w:r>
      <w:r>
        <w:rPr>
          <w:rFonts w:ascii="楷体_GB2312" w:eastAsia="楷体_GB2312" w:hAnsi="楷体_GB2312" w:cs="楷体_GB2312" w:hint="eastAsia"/>
          <w:kern w:val="0"/>
          <w:sz w:val="32"/>
          <w:szCs w:val="32"/>
        </w:rPr>
        <w:t>公益性文化服务体系。</w:t>
      </w:r>
      <w:r>
        <w:rPr>
          <w:rFonts w:eastAsia="仿宋_GB2312" w:hint="eastAsia"/>
          <w:kern w:val="0"/>
          <w:sz w:val="32"/>
          <w:szCs w:val="32"/>
        </w:rPr>
        <w:t>拓宽群众文化活动影响力，</w:t>
      </w:r>
      <w:r>
        <w:rPr>
          <w:rFonts w:eastAsia="仿宋_GB2312" w:hint="eastAsia"/>
          <w:bCs/>
          <w:kern w:val="0"/>
          <w:sz w:val="32"/>
          <w:szCs w:val="32"/>
        </w:rPr>
        <w:t>在重要时间节点搞好各项国家级、市级大型群众文化活动。强化图书馆总分馆制建设，发挥天津图书馆龙头作用，实现基层公共图书馆的专业化建设。加强经费保障和政策支持，力争区级图书馆、文化馆等设施均达到先进水平。加强对博物馆建设的规划引导，积极推动博物馆数量增长，力争形成数量充足、门类合理、充满活力的博物馆群。整合优质文化资源，对接群众需求，发挥市民文化艺术节平台优势，推动更多文化产品和服务向街道（乡镇</w:t>
      </w:r>
      <w:r>
        <w:rPr>
          <w:rFonts w:ascii="仿宋_GB2312" w:eastAsia="仿宋_GB2312"/>
          <w:sz w:val="32"/>
          <w:szCs w:val="32"/>
        </w:rPr>
        <w:t>）、</w:t>
      </w:r>
      <w:r>
        <w:rPr>
          <w:rFonts w:eastAsia="仿宋_GB2312" w:hint="eastAsia"/>
          <w:bCs/>
          <w:kern w:val="0"/>
          <w:sz w:val="32"/>
          <w:szCs w:val="32"/>
        </w:rPr>
        <w:t>社区（村）下沉。充分发挥群众在文化建设中的主体作用，加强基层文化人员队伍建设。每万人公共文化设施面积达</w:t>
      </w:r>
      <w:r>
        <w:rPr>
          <w:rFonts w:eastAsia="仿宋_GB2312"/>
          <w:bCs/>
          <w:kern w:val="0"/>
          <w:sz w:val="32"/>
          <w:szCs w:val="32"/>
        </w:rPr>
        <w:t>1200</w:t>
      </w:r>
      <w:r>
        <w:rPr>
          <w:rFonts w:eastAsia="仿宋_GB2312" w:hint="eastAsia"/>
          <w:bCs/>
          <w:kern w:val="0"/>
          <w:sz w:val="32"/>
          <w:szCs w:val="32"/>
        </w:rPr>
        <w:t>平方</w:t>
      </w:r>
      <w:r>
        <w:rPr>
          <w:rFonts w:eastAsia="仿宋_GB2312" w:hint="eastAsia"/>
          <w:bCs/>
          <w:kern w:val="0"/>
          <w:sz w:val="32"/>
          <w:szCs w:val="32"/>
        </w:rPr>
        <w:t>米，人均拥有公共图书馆藏量</w:t>
      </w:r>
      <w:r>
        <w:rPr>
          <w:rFonts w:eastAsia="仿宋_GB2312"/>
          <w:bCs/>
          <w:kern w:val="0"/>
          <w:sz w:val="32"/>
          <w:szCs w:val="32"/>
        </w:rPr>
        <w:t>1.5</w:t>
      </w:r>
      <w:r>
        <w:rPr>
          <w:rFonts w:eastAsia="仿宋_GB2312" w:hint="eastAsia"/>
          <w:bCs/>
          <w:kern w:val="0"/>
          <w:sz w:val="32"/>
          <w:szCs w:val="32"/>
        </w:rPr>
        <w:t>册。</w:t>
      </w:r>
    </w:p>
    <w:p w:rsidR="002C2F4D" w:rsidRDefault="00061D81" w:rsidP="00FA6DB5">
      <w:pPr>
        <w:adjustRightInd w:val="0"/>
        <w:ind w:firstLineChars="200" w:firstLine="622"/>
        <w:rPr>
          <w:rFonts w:eastAsia="仿宋_GB2312"/>
          <w:bCs/>
          <w:spacing w:val="4"/>
          <w:kern w:val="0"/>
          <w:sz w:val="32"/>
          <w:szCs w:val="32"/>
        </w:rPr>
      </w:pPr>
      <w:r>
        <w:rPr>
          <w:rFonts w:ascii="楷体_GB2312" w:eastAsia="楷体_GB2312" w:hAnsi="楷体_GB2312" w:cs="楷体_GB2312" w:hint="eastAsia"/>
          <w:kern w:val="0"/>
          <w:sz w:val="32"/>
          <w:szCs w:val="32"/>
        </w:rPr>
        <w:t>提</w:t>
      </w:r>
      <w:r>
        <w:rPr>
          <w:rFonts w:ascii="楷体_GB2312" w:eastAsia="楷体_GB2312" w:hAnsi="楷体_GB2312" w:cs="楷体_GB2312" w:hint="eastAsia"/>
          <w:spacing w:val="4"/>
          <w:kern w:val="0"/>
          <w:sz w:val="32"/>
          <w:szCs w:val="32"/>
        </w:rPr>
        <w:t>升广播影视服务水平。</w:t>
      </w:r>
      <w:r>
        <w:rPr>
          <w:rFonts w:eastAsia="仿宋_GB2312" w:hint="eastAsia"/>
          <w:bCs/>
          <w:spacing w:val="4"/>
          <w:kern w:val="0"/>
          <w:sz w:val="32"/>
          <w:szCs w:val="32"/>
        </w:rPr>
        <w:t>按照统筹规划、分级建设、安全可靠、快速高效、平战结合的原则，统筹利用本市现有广播电视资源，基本建成市、区两级统一协调、信息共享、分级负责、反应快捷、安全可靠、综合覆盖的应急广播体系，向城乡居民提供灾害预警应急广播和政务信息发布、政策宣讲等服务。推进</w:t>
      </w:r>
      <w:r>
        <w:rPr>
          <w:rFonts w:eastAsia="仿宋_GB2312"/>
          <w:bCs/>
          <w:spacing w:val="4"/>
          <w:kern w:val="0"/>
          <w:sz w:val="32"/>
          <w:szCs w:val="32"/>
        </w:rPr>
        <w:t>5G</w:t>
      </w:r>
      <w:r>
        <w:rPr>
          <w:rFonts w:eastAsia="仿宋_GB2312" w:hint="eastAsia"/>
          <w:bCs/>
          <w:spacing w:val="4"/>
          <w:kern w:val="0"/>
          <w:sz w:val="32"/>
          <w:szCs w:val="32"/>
        </w:rPr>
        <w:t>和智慧广电融合发展，全面提升城镇、乡村广播电视数字化、网络化、高清化传输覆盖能力，做好有线电视网络工程配套建设及验收工作，确保有线电视工程配套设施与主体工程同步设计、同步施工、同步验收、同步投入使用，</w:t>
      </w:r>
      <w:r>
        <w:rPr>
          <w:rFonts w:eastAsia="仿宋_GB2312" w:hint="eastAsia"/>
          <w:bCs/>
          <w:spacing w:val="4"/>
          <w:kern w:val="0"/>
          <w:sz w:val="32"/>
          <w:szCs w:val="32"/>
        </w:rPr>
        <w:t>新建住宅有线电视网络覆盖率达到</w:t>
      </w:r>
      <w:r>
        <w:rPr>
          <w:rFonts w:eastAsia="仿宋_GB2312" w:hint="eastAsia"/>
          <w:bCs/>
          <w:spacing w:val="4"/>
          <w:kern w:val="0"/>
          <w:sz w:val="32"/>
          <w:szCs w:val="32"/>
        </w:rPr>
        <w:t>100%</w:t>
      </w:r>
      <w:r>
        <w:rPr>
          <w:rFonts w:eastAsia="仿宋_GB2312" w:hint="eastAsia"/>
          <w:bCs/>
          <w:spacing w:val="4"/>
          <w:kern w:val="0"/>
          <w:sz w:val="32"/>
          <w:szCs w:val="32"/>
        </w:rPr>
        <w:t>，提高广播电视公共服务智能化、互动化、移动化水平。</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kern w:val="0"/>
          <w:sz w:val="32"/>
          <w:szCs w:val="32"/>
        </w:rPr>
        <w:t>开展全民阅读活动。</w:t>
      </w:r>
      <w:r>
        <w:rPr>
          <w:rFonts w:ascii="仿宋_GB2312" w:eastAsia="仿宋_GB2312" w:hAnsi="宋体" w:cs="仿宋_GB2312" w:hint="eastAsia"/>
          <w:kern w:val="0"/>
          <w:sz w:val="32"/>
          <w:szCs w:val="32"/>
        </w:rPr>
        <w:t>深入学习宣传习近平新时代中国特色社会主义思想，贯彻落实中央关于全民阅读工作的部署和市委要求，组织开展多种形式的主题读书活动，</w:t>
      </w:r>
      <w:r>
        <w:rPr>
          <w:rFonts w:ascii="仿宋_GB2312" w:eastAsia="仿宋_GB2312" w:hAnsi="宋体" w:cs="宋体" w:hint="eastAsia"/>
          <w:kern w:val="0"/>
          <w:sz w:val="32"/>
          <w:szCs w:val="32"/>
        </w:rPr>
        <w:t>持续推进全民阅读活动，全民阅读设施更加完善</w:t>
      </w:r>
      <w:r>
        <w:rPr>
          <w:rFonts w:ascii="仿宋_GB2312" w:eastAsia="仿宋_GB2312" w:hAnsi="宋体" w:cs="宋体" w:hint="eastAsia"/>
          <w:kern w:val="0"/>
          <w:sz w:val="32"/>
          <w:szCs w:val="32"/>
        </w:rPr>
        <w:t>，形成</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一区一书城、一街道（乡镇）一书吧、一社区（村）一书屋”的全</w:t>
      </w:r>
      <w:r>
        <w:rPr>
          <w:rFonts w:ascii="仿宋_GB2312" w:eastAsia="仿宋_GB2312" w:hAnsi="宋体" w:cs="宋体" w:hint="eastAsia"/>
          <w:kern w:val="0"/>
          <w:sz w:val="32"/>
          <w:szCs w:val="32"/>
        </w:rPr>
        <w:t>民阅读基础设施体系。打造“互联网</w:t>
      </w:r>
      <w:r>
        <w:rPr>
          <w:rFonts w:ascii="仿宋_GB2312" w:eastAsia="仿宋_GB2312" w:hAnsi="宋体" w:cs="宋体"/>
          <w:kern w:val="0"/>
          <w:sz w:val="32"/>
          <w:szCs w:val="32"/>
        </w:rPr>
        <w:t>+</w:t>
      </w:r>
      <w:r>
        <w:rPr>
          <w:rFonts w:ascii="仿宋_GB2312" w:eastAsia="仿宋_GB2312" w:hAnsi="宋体" w:cs="宋体"/>
          <w:kern w:val="0"/>
          <w:sz w:val="32"/>
          <w:szCs w:val="32"/>
        </w:rPr>
        <w:t>全民阅读</w:t>
      </w:r>
      <w:r>
        <w:rPr>
          <w:rFonts w:ascii="仿宋_GB2312" w:eastAsia="仿宋_GB2312" w:hAnsi="宋体" w:cs="宋体"/>
          <w:kern w:val="0"/>
          <w:sz w:val="32"/>
          <w:szCs w:val="32"/>
        </w:rPr>
        <w:t>”</w:t>
      </w:r>
      <w:r>
        <w:rPr>
          <w:rFonts w:ascii="仿宋_GB2312" w:eastAsia="仿宋_GB2312" w:hAnsi="宋体" w:cs="宋体"/>
          <w:kern w:val="0"/>
          <w:sz w:val="32"/>
          <w:szCs w:val="32"/>
        </w:rPr>
        <w:t>体系，推进图书数字资源、阅读信息服务资源、公共阅读服务平台等共享网络建设。</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kern w:val="0"/>
          <w:sz w:val="32"/>
          <w:szCs w:val="32"/>
        </w:rPr>
        <w:t>提升群众体育发展水平。</w:t>
      </w:r>
      <w:r>
        <w:rPr>
          <w:rFonts w:ascii="仿宋_GB2312" w:eastAsia="仿宋_GB2312" w:hAnsi="宋体" w:cs="仿宋_GB2312" w:hint="eastAsia"/>
          <w:kern w:val="0"/>
          <w:sz w:val="32"/>
          <w:szCs w:val="32"/>
        </w:rPr>
        <w:t>构建更高水平的全民健身公共服务体系，完善政府主导、部门协同、市场助推、法规保障的全民健身新格局。推动全民健身生活化，提升科学健身服务水平，促进全民健身与全民健康深入融合。统筹规划全市体育场地设施，合理布局大型体育场馆，完善基层体育设施，实现</w:t>
      </w:r>
      <w:r>
        <w:rPr>
          <w:rFonts w:eastAsia="仿宋_GB2312" w:hint="eastAsia"/>
          <w:bCs/>
          <w:kern w:val="0"/>
          <w:sz w:val="32"/>
          <w:szCs w:val="32"/>
        </w:rPr>
        <w:t>街道（乡镇</w:t>
      </w:r>
      <w:r>
        <w:rPr>
          <w:rFonts w:ascii="仿宋_GB2312" w:eastAsia="仿宋_GB2312"/>
          <w:sz w:val="32"/>
          <w:szCs w:val="32"/>
        </w:rPr>
        <w:t>）、</w:t>
      </w:r>
      <w:r>
        <w:rPr>
          <w:rFonts w:eastAsia="仿宋_GB2312" w:hint="eastAsia"/>
          <w:bCs/>
          <w:kern w:val="0"/>
          <w:sz w:val="32"/>
          <w:szCs w:val="32"/>
        </w:rPr>
        <w:t>社区（村）</w:t>
      </w:r>
      <w:r>
        <w:rPr>
          <w:rFonts w:ascii="仿宋_GB2312" w:eastAsia="仿宋_GB2312" w:hAnsi="宋体" w:cs="仿宋_GB2312" w:hint="eastAsia"/>
          <w:kern w:val="0"/>
          <w:sz w:val="32"/>
          <w:szCs w:val="32"/>
        </w:rPr>
        <w:t>公共体育健身设施全覆盖。加</w:t>
      </w:r>
      <w:r>
        <w:rPr>
          <w:rFonts w:ascii="仿宋_GB2312" w:eastAsia="仿宋_GB2312" w:hAnsi="宋体" w:cs="仿宋_GB2312"/>
          <w:kern w:val="0"/>
          <w:sz w:val="32"/>
          <w:szCs w:val="32"/>
        </w:rPr>
        <w:t>强</w:t>
      </w:r>
      <w:r>
        <w:rPr>
          <w:rFonts w:ascii="仿宋_GB2312" w:eastAsia="仿宋_GB2312" w:hAnsi="宋体" w:cs="仿宋_GB2312" w:hint="eastAsia"/>
          <w:kern w:val="0"/>
          <w:sz w:val="32"/>
          <w:szCs w:val="32"/>
        </w:rPr>
        <w:t>全民健身信息服务体系建设，促进信息技术更加深入广泛地融入全民健身。人均体育场地面积达到</w:t>
      </w:r>
      <w:r>
        <w:rPr>
          <w:rFonts w:eastAsia="仿宋_GB2312"/>
          <w:kern w:val="0"/>
          <w:sz w:val="32"/>
          <w:szCs w:val="32"/>
        </w:rPr>
        <w:t>2.</w:t>
      </w:r>
      <w:r>
        <w:rPr>
          <w:rFonts w:eastAsia="仿宋_GB2312" w:hint="eastAsia"/>
          <w:kern w:val="0"/>
          <w:sz w:val="32"/>
          <w:szCs w:val="32"/>
        </w:rPr>
        <w:t>6</w:t>
      </w:r>
      <w:r>
        <w:rPr>
          <w:rFonts w:ascii="仿宋_GB2312" w:eastAsia="仿宋_GB2312" w:hAnsi="宋体" w:cs="仿宋_GB2312" w:hint="eastAsia"/>
          <w:kern w:val="0"/>
          <w:sz w:val="32"/>
          <w:szCs w:val="32"/>
        </w:rPr>
        <w:t>平方米，经常参加体育锻炼人数比例保持在</w:t>
      </w:r>
      <w:r>
        <w:rPr>
          <w:rFonts w:eastAsia="仿宋_GB2312"/>
          <w:kern w:val="0"/>
          <w:sz w:val="32"/>
          <w:szCs w:val="32"/>
        </w:rPr>
        <w:t>45%</w:t>
      </w:r>
      <w:r>
        <w:rPr>
          <w:rFonts w:ascii="仿宋_GB2312" w:eastAsia="仿宋_GB2312" w:hAnsi="宋体" w:cs="仿宋_GB2312" w:hint="eastAsia"/>
          <w:kern w:val="0"/>
          <w:sz w:val="32"/>
          <w:szCs w:val="32"/>
        </w:rPr>
        <w:t>及以上，每万人拥有足球场地数量达到</w:t>
      </w:r>
      <w:r>
        <w:rPr>
          <w:rFonts w:eastAsia="仿宋_GB2312"/>
          <w:kern w:val="0"/>
          <w:sz w:val="32"/>
          <w:szCs w:val="32"/>
        </w:rPr>
        <w:t>1</w:t>
      </w:r>
      <w:r>
        <w:rPr>
          <w:rFonts w:ascii="仿宋_GB2312" w:eastAsia="仿宋_GB2312" w:hAnsi="宋体" w:cs="仿宋_GB2312" w:hint="eastAsia"/>
          <w:kern w:val="0"/>
          <w:sz w:val="32"/>
          <w:szCs w:val="32"/>
        </w:rPr>
        <w:t>块以上。</w:t>
      </w:r>
    </w:p>
    <w:p w:rsidR="002C2F4D" w:rsidRDefault="00061D81" w:rsidP="00FA6DB5">
      <w:pPr>
        <w:adjustRightInd w:val="0"/>
        <w:ind w:firstLineChars="200" w:firstLine="622"/>
        <w:rPr>
          <w:rFonts w:ascii="仿宋_GB2312" w:eastAsia="仿宋_GB2312" w:hAnsi="宋体" w:cs="宋体"/>
          <w:kern w:val="0"/>
          <w:sz w:val="32"/>
          <w:szCs w:val="32"/>
        </w:rPr>
      </w:pPr>
      <w:r>
        <w:rPr>
          <w:rFonts w:ascii="楷体_GB2312" w:eastAsia="楷体_GB2312" w:hAnsi="楷体_GB2312" w:cs="楷体_GB2312" w:hint="eastAsia"/>
          <w:kern w:val="0"/>
          <w:sz w:val="32"/>
          <w:szCs w:val="32"/>
        </w:rPr>
        <w:t>推动京津冀公共文化体育协同发展。</w:t>
      </w:r>
      <w:r>
        <w:rPr>
          <w:rFonts w:ascii="仿宋_GB2312" w:eastAsia="仿宋_GB2312" w:hAnsi="宋体" w:cs="宋体" w:hint="eastAsia"/>
          <w:kern w:val="0"/>
          <w:sz w:val="32"/>
          <w:szCs w:val="32"/>
        </w:rPr>
        <w:t>推进京</w:t>
      </w:r>
      <w:r>
        <w:rPr>
          <w:rFonts w:ascii="仿宋_GB2312" w:eastAsia="仿宋_GB2312" w:hAnsi="宋体" w:cs="宋体" w:hint="eastAsia"/>
          <w:kern w:val="0"/>
          <w:sz w:val="32"/>
          <w:szCs w:val="32"/>
        </w:rPr>
        <w:t>津冀区域公共文化机构数字化建设，构筑涵盖京津冀三地的以展示演出、场馆导览、文博保护等信息服务为主的数字化公共文化服务体系。推动建立京津冀演艺网络平台，实现演艺信息互联互通，线上线下双向资源统一，构建辐射三地的演艺市场。推动建设统一的京津冀文化体育市场体系，进一步提升区域文化体育产业链的关联度和互补性，探索建立文化市场综合管理和执法联防协作机制。</w:t>
      </w:r>
    </w:p>
    <w:p w:rsidR="002C2F4D" w:rsidRDefault="002C2F4D">
      <w:pPr>
        <w:adjustRightInd w:val="0"/>
        <w:rPr>
          <w:rFonts w:ascii="仿宋_GB2312" w:eastAsia="仿宋_GB2312" w:hAnsi="宋体" w:cs="宋体"/>
          <w:kern w:val="0"/>
          <w:sz w:val="32"/>
          <w:szCs w:val="32"/>
        </w:rPr>
      </w:pPr>
    </w:p>
    <w:p w:rsidR="002C2F4D" w:rsidRDefault="00061D81">
      <w:pPr>
        <w:pStyle w:val="3"/>
        <w:keepNext w:val="0"/>
        <w:keepLines w:val="0"/>
        <w:adjustRightInd w:val="0"/>
        <w:spacing w:before="0" w:after="0" w:line="240" w:lineRule="auto"/>
        <w:jc w:val="center"/>
        <w:rPr>
          <w:rFonts w:ascii="黑体" w:eastAsia="黑体" w:hAnsi="黑体" w:cs="黑体"/>
          <w:b w:val="0"/>
          <w:bCs w:val="0"/>
        </w:rPr>
      </w:pPr>
      <w:bookmarkStart w:id="48" w:name="_Toc65837410"/>
      <w:r>
        <w:rPr>
          <w:rFonts w:ascii="黑体" w:eastAsia="黑体" w:hAnsi="黑体" w:cs="黑体" w:hint="eastAsia"/>
          <w:b w:val="0"/>
          <w:bCs w:val="0"/>
        </w:rPr>
        <w:t>第二节</w:t>
      </w:r>
      <w:r>
        <w:rPr>
          <w:rFonts w:ascii="黑体" w:eastAsia="黑体" w:hAnsi="黑体" w:cs="黑体"/>
          <w:b w:val="0"/>
          <w:bCs w:val="0"/>
        </w:rPr>
        <w:t xml:space="preserve"> </w:t>
      </w:r>
      <w:r>
        <w:rPr>
          <w:rFonts w:ascii="黑体" w:eastAsia="黑体" w:hAnsi="黑体" w:cs="黑体" w:hint="eastAsia"/>
          <w:b w:val="0"/>
          <w:bCs w:val="0"/>
        </w:rPr>
        <w:t xml:space="preserve"> </w:t>
      </w:r>
      <w:r>
        <w:rPr>
          <w:rFonts w:ascii="黑体" w:eastAsia="黑体" w:hAnsi="黑体" w:cs="黑体" w:hint="eastAsia"/>
          <w:b w:val="0"/>
          <w:bCs w:val="0"/>
        </w:rPr>
        <w:t>基本标准</w:t>
      </w:r>
      <w:bookmarkEnd w:id="48"/>
    </w:p>
    <w:p w:rsidR="002C2F4D" w:rsidRDefault="002C2F4D">
      <w:pPr>
        <w:adjustRightInd w:val="0"/>
        <w:rPr>
          <w:sz w:val="32"/>
          <w:szCs w:val="32"/>
        </w:rPr>
      </w:pPr>
    </w:p>
    <w:p w:rsidR="002C2F4D" w:rsidRDefault="00061D81" w:rsidP="00FA6DB5">
      <w:pPr>
        <w:adjustRightInd w:val="0"/>
        <w:ind w:firstLineChars="200" w:firstLine="622"/>
        <w:rPr>
          <w:rFonts w:ascii="黑体" w:eastAsia="黑体" w:hAnsi="黑体" w:cs="黑体"/>
          <w:bCs/>
          <w:kern w:val="0"/>
          <w:sz w:val="28"/>
          <w:szCs w:val="28"/>
        </w:rPr>
      </w:pPr>
      <w:r>
        <w:rPr>
          <w:rFonts w:ascii="仿宋_GB2312" w:eastAsia="仿宋_GB2312" w:hAnsi="宋体" w:cs="宋体" w:hint="eastAsia"/>
          <w:kern w:val="0"/>
          <w:sz w:val="32"/>
          <w:szCs w:val="32"/>
        </w:rPr>
        <w:t>以基本公共文化体育服务国家基本标准为基础，结合本市实际情况，制定“十四五”时期天津市基本公共文化体育服务基本标准。</w:t>
      </w:r>
    </w:p>
    <w:p w:rsidR="002C2F4D" w:rsidRDefault="00061D81" w:rsidP="00FA6DB5">
      <w:pPr>
        <w:adjustRightInd w:val="0"/>
        <w:spacing w:beforeLines="100" w:before="289"/>
        <w:jc w:val="center"/>
        <w:rPr>
          <w:rFonts w:ascii="黑体" w:eastAsia="黑体" w:hAnsi="黑体" w:cs="黑体"/>
          <w:bCs/>
          <w:kern w:val="0"/>
          <w:sz w:val="32"/>
          <w:szCs w:val="32"/>
        </w:rPr>
      </w:pPr>
      <w:r>
        <w:rPr>
          <w:rFonts w:ascii="黑体" w:eastAsia="黑体" w:hAnsi="黑体" w:cs="黑体" w:hint="eastAsia"/>
          <w:bCs/>
          <w:sz w:val="32"/>
          <w:szCs w:val="32"/>
        </w:rPr>
        <w:t>“十四五”时期天津市基本</w:t>
      </w:r>
      <w:r>
        <w:rPr>
          <w:rFonts w:ascii="黑体" w:eastAsia="黑体" w:hAnsi="黑体" w:cs="黑体" w:hint="eastAsia"/>
          <w:bCs/>
          <w:kern w:val="0"/>
          <w:sz w:val="32"/>
          <w:szCs w:val="32"/>
        </w:rPr>
        <w:t>公共文化体育服务基本标准</w:t>
      </w:r>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1"/>
        <w:gridCol w:w="1650"/>
        <w:gridCol w:w="3975"/>
        <w:gridCol w:w="1362"/>
        <w:gridCol w:w="1223"/>
      </w:tblGrid>
      <w:tr w:rsidR="002C2F4D">
        <w:trPr>
          <w:cantSplit/>
          <w:trHeight w:val="454"/>
          <w:tblHeader/>
          <w:jc w:val="center"/>
        </w:trPr>
        <w:tc>
          <w:tcPr>
            <w:tcW w:w="1291" w:type="dxa"/>
            <w:vAlign w:val="center"/>
          </w:tcPr>
          <w:p w:rsidR="002C2F4D" w:rsidRDefault="00061D81">
            <w:pPr>
              <w:adjustRightInd w:val="0"/>
              <w:snapToGrid w:val="0"/>
              <w:spacing w:line="280" w:lineRule="exact"/>
              <w:jc w:val="center"/>
              <w:rPr>
                <w:rFonts w:ascii="黑体" w:eastAsia="黑体" w:hAnsi="黑体" w:cs="黑体"/>
                <w:kern w:val="0"/>
                <w:sz w:val="24"/>
              </w:rPr>
            </w:pPr>
            <w:r>
              <w:rPr>
                <w:rFonts w:ascii="黑体" w:eastAsia="黑体" w:hAnsi="黑体" w:cs="黑体" w:hint="eastAsia"/>
                <w:kern w:val="0"/>
                <w:sz w:val="24"/>
              </w:rPr>
              <w:t>服务项目</w:t>
            </w:r>
          </w:p>
        </w:tc>
        <w:tc>
          <w:tcPr>
            <w:tcW w:w="1650" w:type="dxa"/>
            <w:vAlign w:val="center"/>
          </w:tcPr>
          <w:p w:rsidR="002C2F4D" w:rsidRDefault="00061D81">
            <w:pPr>
              <w:adjustRightInd w:val="0"/>
              <w:snapToGrid w:val="0"/>
              <w:spacing w:line="280" w:lineRule="exact"/>
              <w:jc w:val="center"/>
              <w:rPr>
                <w:rFonts w:ascii="黑体" w:eastAsia="黑体" w:hAnsi="黑体" w:cs="黑体"/>
                <w:kern w:val="0"/>
                <w:sz w:val="24"/>
              </w:rPr>
            </w:pPr>
            <w:r>
              <w:rPr>
                <w:rFonts w:ascii="黑体" w:eastAsia="黑体" w:hAnsi="黑体" w:cs="黑体" w:hint="eastAsia"/>
                <w:kern w:val="0"/>
                <w:sz w:val="24"/>
              </w:rPr>
              <w:t>服务对象</w:t>
            </w:r>
          </w:p>
        </w:tc>
        <w:tc>
          <w:tcPr>
            <w:tcW w:w="3975" w:type="dxa"/>
            <w:vAlign w:val="center"/>
          </w:tcPr>
          <w:p w:rsidR="002C2F4D" w:rsidRDefault="00061D81">
            <w:pPr>
              <w:adjustRightInd w:val="0"/>
              <w:snapToGrid w:val="0"/>
              <w:spacing w:line="280" w:lineRule="exact"/>
              <w:jc w:val="center"/>
              <w:rPr>
                <w:rFonts w:ascii="黑体" w:eastAsia="黑体" w:hAnsi="黑体" w:cs="黑体"/>
                <w:kern w:val="0"/>
                <w:sz w:val="24"/>
              </w:rPr>
            </w:pPr>
            <w:r>
              <w:rPr>
                <w:rFonts w:ascii="黑体" w:eastAsia="黑体" w:hAnsi="黑体" w:cs="黑体"/>
                <w:kern w:val="0"/>
                <w:sz w:val="24"/>
              </w:rPr>
              <w:t>保障标准</w:t>
            </w:r>
          </w:p>
        </w:tc>
        <w:tc>
          <w:tcPr>
            <w:tcW w:w="1362" w:type="dxa"/>
            <w:vAlign w:val="center"/>
          </w:tcPr>
          <w:p w:rsidR="002C2F4D" w:rsidRDefault="00061D81">
            <w:pPr>
              <w:adjustRightInd w:val="0"/>
              <w:snapToGrid w:val="0"/>
              <w:spacing w:line="280" w:lineRule="exact"/>
              <w:jc w:val="center"/>
              <w:rPr>
                <w:rFonts w:ascii="黑体" w:eastAsia="黑体" w:hAnsi="黑体" w:cs="黑体"/>
                <w:kern w:val="0"/>
                <w:sz w:val="24"/>
              </w:rPr>
            </w:pPr>
            <w:r>
              <w:rPr>
                <w:rFonts w:ascii="黑体" w:eastAsia="黑体" w:hAnsi="黑体" w:cs="黑体" w:hint="eastAsia"/>
                <w:kern w:val="0"/>
                <w:sz w:val="24"/>
              </w:rPr>
              <w:t>支出责任</w:t>
            </w:r>
          </w:p>
        </w:tc>
        <w:tc>
          <w:tcPr>
            <w:tcW w:w="1223" w:type="dxa"/>
            <w:vAlign w:val="center"/>
          </w:tcPr>
          <w:p w:rsidR="002C2F4D" w:rsidRDefault="00061D81">
            <w:pPr>
              <w:adjustRightInd w:val="0"/>
              <w:snapToGrid w:val="0"/>
              <w:spacing w:line="280" w:lineRule="exact"/>
              <w:jc w:val="center"/>
              <w:rPr>
                <w:rFonts w:ascii="黑体" w:eastAsia="黑体" w:hAnsi="黑体" w:cs="黑体"/>
                <w:kern w:val="0"/>
                <w:sz w:val="24"/>
              </w:rPr>
            </w:pPr>
            <w:r>
              <w:rPr>
                <w:rFonts w:ascii="黑体" w:eastAsia="黑体" w:hAnsi="黑体" w:cs="黑体"/>
                <w:kern w:val="0"/>
                <w:sz w:val="24"/>
              </w:rPr>
              <w:t>覆盖水平</w:t>
            </w:r>
          </w:p>
        </w:tc>
      </w:tr>
      <w:tr w:rsidR="002C2F4D">
        <w:trPr>
          <w:cantSplit/>
          <w:trHeight w:val="454"/>
          <w:jc w:val="center"/>
        </w:trPr>
        <w:tc>
          <w:tcPr>
            <w:tcW w:w="9501" w:type="dxa"/>
            <w:gridSpan w:val="5"/>
            <w:vAlign w:val="center"/>
          </w:tcPr>
          <w:p w:rsidR="002C2F4D" w:rsidRDefault="00061D81">
            <w:pPr>
              <w:adjustRightInd w:val="0"/>
              <w:snapToGrid w:val="0"/>
              <w:spacing w:line="280" w:lineRule="exact"/>
              <w:rPr>
                <w:rFonts w:eastAsia="楷体_GB2312"/>
                <w:kern w:val="0"/>
                <w:sz w:val="24"/>
              </w:rPr>
            </w:pPr>
            <w:r>
              <w:rPr>
                <w:rFonts w:eastAsia="楷体_GB2312" w:hint="eastAsia"/>
                <w:kern w:val="0"/>
                <w:sz w:val="24"/>
              </w:rPr>
              <w:t>公益性文化服务</w:t>
            </w:r>
          </w:p>
        </w:tc>
      </w:tr>
      <w:tr w:rsidR="002C2F4D">
        <w:trPr>
          <w:cantSplit/>
          <w:trHeight w:val="585"/>
          <w:jc w:val="center"/>
        </w:trPr>
        <w:tc>
          <w:tcPr>
            <w:tcW w:w="1291"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公共文化设施免费开放</w:t>
            </w:r>
          </w:p>
        </w:tc>
        <w:tc>
          <w:tcPr>
            <w:tcW w:w="1650"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城乡居民</w:t>
            </w:r>
          </w:p>
        </w:tc>
        <w:tc>
          <w:tcPr>
            <w:tcW w:w="3975" w:type="dxa"/>
            <w:vAlign w:val="center"/>
          </w:tcPr>
          <w:p w:rsidR="002C2F4D" w:rsidRDefault="00061D81">
            <w:pPr>
              <w:adjustRightInd w:val="0"/>
              <w:snapToGrid w:val="0"/>
              <w:spacing w:line="280" w:lineRule="exact"/>
              <w:rPr>
                <w:rFonts w:eastAsia="仿宋_GB2312"/>
                <w:kern w:val="0"/>
                <w:sz w:val="24"/>
              </w:rPr>
            </w:pPr>
            <w:r>
              <w:rPr>
                <w:rFonts w:eastAsia="仿宋_GB2312" w:hint="eastAsia"/>
                <w:sz w:val="24"/>
              </w:rPr>
              <w:t>深入推进公共图书馆、博物馆、文化馆、纪念馆、美术馆等公共文化设施免费开放，鼓励文物建筑及遗址类博物馆、非物质文化遗产项目保护单位面向群众定期免费开放，逐步将行业博物馆等纳入免费开放范围。公共空间设施和基本服务项目免费，全年开放时间不少于</w:t>
            </w:r>
            <w:r>
              <w:rPr>
                <w:rFonts w:eastAsia="仿宋_GB2312"/>
                <w:sz w:val="24"/>
              </w:rPr>
              <w:t>10</w:t>
            </w:r>
            <w:r>
              <w:rPr>
                <w:rFonts w:eastAsia="仿宋_GB2312" w:hint="eastAsia"/>
                <w:sz w:val="24"/>
              </w:rPr>
              <w:t>个月。</w:t>
            </w:r>
          </w:p>
        </w:tc>
        <w:tc>
          <w:tcPr>
            <w:tcW w:w="1362"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各级财政负担。</w:t>
            </w:r>
          </w:p>
        </w:tc>
        <w:tc>
          <w:tcPr>
            <w:tcW w:w="1223"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目标人群覆盖率</w:t>
            </w:r>
            <w:r>
              <w:rPr>
                <w:rFonts w:eastAsia="仿宋_GB2312"/>
                <w:kern w:val="0"/>
                <w:sz w:val="24"/>
              </w:rPr>
              <w:t>100%</w:t>
            </w:r>
          </w:p>
        </w:tc>
      </w:tr>
      <w:tr w:rsidR="002C2F4D">
        <w:trPr>
          <w:cantSplit/>
          <w:trHeight w:val="585"/>
          <w:jc w:val="center"/>
        </w:trPr>
        <w:tc>
          <w:tcPr>
            <w:tcW w:w="1291"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送戏曲下乡</w:t>
            </w:r>
          </w:p>
        </w:tc>
        <w:tc>
          <w:tcPr>
            <w:tcW w:w="1650"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农村居民</w:t>
            </w:r>
          </w:p>
        </w:tc>
        <w:tc>
          <w:tcPr>
            <w:tcW w:w="3975" w:type="dxa"/>
            <w:vAlign w:val="center"/>
          </w:tcPr>
          <w:p w:rsidR="002C2F4D" w:rsidRDefault="00061D81">
            <w:pPr>
              <w:adjustRightInd w:val="0"/>
              <w:snapToGrid w:val="0"/>
              <w:spacing w:line="280" w:lineRule="exact"/>
              <w:rPr>
                <w:rFonts w:eastAsia="仿宋_GB2312"/>
                <w:sz w:val="24"/>
              </w:rPr>
            </w:pPr>
            <w:r>
              <w:rPr>
                <w:rFonts w:eastAsia="仿宋_GB2312" w:hint="eastAsia"/>
                <w:sz w:val="24"/>
              </w:rPr>
              <w:t>根据群众实际需求，采取政府购买服务等方式，为农村乡镇每年举办戏曲等文艺演出。</w:t>
            </w:r>
          </w:p>
        </w:tc>
        <w:tc>
          <w:tcPr>
            <w:tcW w:w="1362"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各级财政负担。</w:t>
            </w:r>
          </w:p>
        </w:tc>
        <w:tc>
          <w:tcPr>
            <w:tcW w:w="1223"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目标人群覆盖率</w:t>
            </w:r>
            <w:r>
              <w:rPr>
                <w:rFonts w:eastAsia="仿宋_GB2312"/>
                <w:kern w:val="0"/>
                <w:sz w:val="24"/>
              </w:rPr>
              <w:t>100%</w:t>
            </w:r>
          </w:p>
        </w:tc>
      </w:tr>
      <w:tr w:rsidR="002C2F4D">
        <w:trPr>
          <w:cantSplit/>
          <w:trHeight w:val="585"/>
          <w:jc w:val="center"/>
        </w:trPr>
        <w:tc>
          <w:tcPr>
            <w:tcW w:w="1291"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少数民族文化服务</w:t>
            </w:r>
          </w:p>
        </w:tc>
        <w:tc>
          <w:tcPr>
            <w:tcW w:w="1650"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少数民族居民</w:t>
            </w:r>
          </w:p>
        </w:tc>
        <w:tc>
          <w:tcPr>
            <w:tcW w:w="3975" w:type="dxa"/>
            <w:vAlign w:val="center"/>
          </w:tcPr>
          <w:p w:rsidR="002C2F4D" w:rsidRDefault="00061D81">
            <w:pPr>
              <w:adjustRightInd w:val="0"/>
              <w:snapToGrid w:val="0"/>
              <w:spacing w:line="280" w:lineRule="exact"/>
              <w:rPr>
                <w:rFonts w:eastAsia="仿宋_GB2312"/>
                <w:sz w:val="24"/>
              </w:rPr>
            </w:pPr>
            <w:r>
              <w:rPr>
                <w:rFonts w:eastAsia="仿宋_GB2312" w:hint="eastAsia"/>
                <w:sz w:val="24"/>
              </w:rPr>
              <w:t>在少数民族居民聚集的区，发动区文化馆（宫）等公共文化服务机构开展每年不少于</w:t>
            </w:r>
            <w:r>
              <w:rPr>
                <w:rFonts w:eastAsia="仿宋_GB2312"/>
                <w:sz w:val="24"/>
              </w:rPr>
              <w:t>4</w:t>
            </w:r>
            <w:r>
              <w:rPr>
                <w:rFonts w:eastAsia="仿宋_GB2312" w:hint="eastAsia"/>
                <w:sz w:val="24"/>
              </w:rPr>
              <w:t>次少数民族文化活动。天津图书馆按人均</w:t>
            </w:r>
            <w:r>
              <w:rPr>
                <w:rFonts w:eastAsia="仿宋_GB2312"/>
                <w:sz w:val="24"/>
              </w:rPr>
              <w:t>1.2</w:t>
            </w:r>
            <w:r>
              <w:rPr>
                <w:rFonts w:eastAsia="仿宋_GB2312" w:hint="eastAsia"/>
                <w:sz w:val="24"/>
              </w:rPr>
              <w:t>册标准配备千人以上少数民族（回、满、蒙、朝鲜、土家、壮、苗、彝、藏）语言文字的图书，少数民族居民可利用通借通还系统阅读到本民族语言文字图书。做好西藏台在天津地区的转播工作。</w:t>
            </w:r>
          </w:p>
        </w:tc>
        <w:tc>
          <w:tcPr>
            <w:tcW w:w="1362"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各级财政负担。</w:t>
            </w:r>
          </w:p>
        </w:tc>
        <w:tc>
          <w:tcPr>
            <w:tcW w:w="1223"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目标人群全覆盖</w:t>
            </w:r>
            <w:r>
              <w:rPr>
                <w:rFonts w:eastAsia="仿宋_GB2312"/>
                <w:kern w:val="0"/>
                <w:sz w:val="24"/>
              </w:rPr>
              <w:t>100%</w:t>
            </w:r>
          </w:p>
        </w:tc>
      </w:tr>
      <w:tr w:rsidR="002C2F4D">
        <w:trPr>
          <w:cantSplit/>
          <w:trHeight w:val="454"/>
          <w:jc w:val="center"/>
        </w:trPr>
        <w:tc>
          <w:tcPr>
            <w:tcW w:w="9501" w:type="dxa"/>
            <w:gridSpan w:val="5"/>
            <w:vAlign w:val="center"/>
          </w:tcPr>
          <w:p w:rsidR="002C2F4D" w:rsidRDefault="00061D81">
            <w:pPr>
              <w:adjustRightInd w:val="0"/>
              <w:snapToGrid w:val="0"/>
              <w:spacing w:line="280" w:lineRule="exact"/>
              <w:rPr>
                <w:rFonts w:eastAsia="楷体_GB2312"/>
                <w:kern w:val="0"/>
                <w:sz w:val="24"/>
              </w:rPr>
            </w:pPr>
            <w:r>
              <w:rPr>
                <w:rFonts w:eastAsia="楷体_GB2312" w:hint="eastAsia"/>
                <w:kern w:val="0"/>
                <w:sz w:val="24"/>
              </w:rPr>
              <w:t>广播影视</w:t>
            </w:r>
          </w:p>
        </w:tc>
      </w:tr>
      <w:tr w:rsidR="002C2F4D">
        <w:trPr>
          <w:cantSplit/>
          <w:trHeight w:val="408"/>
          <w:jc w:val="center"/>
        </w:trPr>
        <w:tc>
          <w:tcPr>
            <w:tcW w:w="1291" w:type="dxa"/>
            <w:vAlign w:val="center"/>
          </w:tcPr>
          <w:p w:rsidR="002C2F4D" w:rsidRDefault="00061D81">
            <w:pPr>
              <w:adjustRightInd w:val="0"/>
              <w:snapToGrid w:val="0"/>
              <w:spacing w:line="280" w:lineRule="exact"/>
              <w:rPr>
                <w:rFonts w:eastAsia="仿宋_GB2312"/>
                <w:kern w:val="0"/>
                <w:sz w:val="24"/>
              </w:rPr>
            </w:pPr>
            <w:r>
              <w:rPr>
                <w:rFonts w:eastAsia="仿宋_GB2312"/>
                <w:kern w:val="0"/>
                <w:sz w:val="24"/>
              </w:rPr>
              <w:t>观看电视</w:t>
            </w:r>
          </w:p>
        </w:tc>
        <w:tc>
          <w:tcPr>
            <w:tcW w:w="1650"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城乡居民</w:t>
            </w:r>
          </w:p>
        </w:tc>
        <w:tc>
          <w:tcPr>
            <w:tcW w:w="3975"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5G</w:t>
            </w:r>
            <w:r>
              <w:rPr>
                <w:rFonts w:eastAsia="仿宋_GB2312" w:hint="eastAsia"/>
                <w:kern w:val="0"/>
                <w:sz w:val="24"/>
              </w:rPr>
              <w:t>和智慧广电融合发展，提供智慧家庭服务以及智慧社区、智慧教育、智慧医养、城市大脑、智慧政务、智慧交通等政企、民生服务。提供电视节目服务，通过地面无线方式提供不少于</w:t>
            </w:r>
            <w:r>
              <w:rPr>
                <w:rFonts w:eastAsia="仿宋_GB2312" w:hint="eastAsia"/>
                <w:kern w:val="0"/>
                <w:sz w:val="24"/>
              </w:rPr>
              <w:t>15</w:t>
            </w:r>
            <w:r>
              <w:rPr>
                <w:rFonts w:eastAsia="仿宋_GB2312" w:hint="eastAsia"/>
                <w:kern w:val="0"/>
                <w:sz w:val="24"/>
              </w:rPr>
              <w:t>套电视节目。</w:t>
            </w:r>
          </w:p>
        </w:tc>
        <w:tc>
          <w:tcPr>
            <w:tcW w:w="1362"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以企业支出为主，涉及公共服务补短板、强弱项的内容，政府予以政策支持及财政补贴。</w:t>
            </w:r>
          </w:p>
        </w:tc>
        <w:tc>
          <w:tcPr>
            <w:tcW w:w="1223" w:type="dxa"/>
            <w:vAlign w:val="center"/>
          </w:tcPr>
          <w:p w:rsidR="002C2F4D" w:rsidRDefault="00061D81">
            <w:pPr>
              <w:adjustRightInd w:val="0"/>
              <w:snapToGrid w:val="0"/>
              <w:spacing w:line="280" w:lineRule="exact"/>
              <w:rPr>
                <w:rFonts w:eastAsia="仿宋_GB2312"/>
                <w:kern w:val="0"/>
                <w:sz w:val="24"/>
              </w:rPr>
            </w:pPr>
            <w:r>
              <w:rPr>
                <w:rFonts w:eastAsia="仿宋_GB2312" w:hint="eastAsia"/>
                <w:sz w:val="24"/>
              </w:rPr>
              <w:t>目标人群覆盖率</w:t>
            </w:r>
            <w:r>
              <w:rPr>
                <w:rFonts w:eastAsia="仿宋_GB2312"/>
                <w:sz w:val="24"/>
              </w:rPr>
              <w:t>100%</w:t>
            </w:r>
          </w:p>
        </w:tc>
      </w:tr>
      <w:tr w:rsidR="002C2F4D">
        <w:trPr>
          <w:cantSplit/>
          <w:trHeight w:val="408"/>
          <w:jc w:val="center"/>
        </w:trPr>
        <w:tc>
          <w:tcPr>
            <w:tcW w:w="1291"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观赏电影</w:t>
            </w:r>
          </w:p>
        </w:tc>
        <w:tc>
          <w:tcPr>
            <w:tcW w:w="1650"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中小学生、农村居民</w:t>
            </w:r>
          </w:p>
        </w:tc>
        <w:tc>
          <w:tcPr>
            <w:tcW w:w="3975"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为中小学生观看优秀影片提供保障服务，中小学生每学期免费观看</w:t>
            </w:r>
            <w:r>
              <w:rPr>
                <w:rFonts w:eastAsia="仿宋_GB2312" w:hint="eastAsia"/>
                <w:kern w:val="0"/>
                <w:sz w:val="24"/>
              </w:rPr>
              <w:t>2</w:t>
            </w:r>
            <w:r>
              <w:rPr>
                <w:rFonts w:eastAsia="仿宋_GB2312" w:hint="eastAsia"/>
                <w:kern w:val="0"/>
                <w:sz w:val="24"/>
              </w:rPr>
              <w:t>部爱国主义教育影片；为农村群众提供数字电影放映服务，每个村每月免费观看</w:t>
            </w:r>
            <w:r>
              <w:rPr>
                <w:rFonts w:eastAsia="仿宋_GB2312"/>
                <w:kern w:val="0"/>
                <w:sz w:val="24"/>
              </w:rPr>
              <w:t>1</w:t>
            </w:r>
            <w:r>
              <w:rPr>
                <w:rFonts w:eastAsia="仿宋_GB2312" w:hint="eastAsia"/>
                <w:kern w:val="0"/>
                <w:sz w:val="24"/>
              </w:rPr>
              <w:t>场数字电影，其中新片（院线上映不超过两年）比例不少于</w:t>
            </w:r>
            <w:r>
              <w:rPr>
                <w:rFonts w:eastAsia="仿宋_GB2312"/>
                <w:kern w:val="0"/>
                <w:sz w:val="24"/>
              </w:rPr>
              <w:t>1</w:t>
            </w:r>
            <w:r>
              <w:rPr>
                <w:rFonts w:ascii="仿宋_GB2312" w:eastAsia="仿宋_GB2312" w:hAnsi="仿宋_GB2312" w:cs="仿宋_GB2312" w:hint="eastAsia"/>
                <w:kern w:val="0"/>
                <w:sz w:val="24"/>
              </w:rPr>
              <w:t>/</w:t>
            </w:r>
            <w:r>
              <w:rPr>
                <w:rFonts w:eastAsia="仿宋_GB2312"/>
                <w:kern w:val="0"/>
                <w:sz w:val="24"/>
              </w:rPr>
              <w:t>3</w:t>
            </w:r>
            <w:r>
              <w:rPr>
                <w:rFonts w:eastAsia="仿宋_GB2312" w:hint="eastAsia"/>
                <w:kern w:val="0"/>
                <w:sz w:val="24"/>
              </w:rPr>
              <w:t>。</w:t>
            </w:r>
          </w:p>
        </w:tc>
        <w:tc>
          <w:tcPr>
            <w:tcW w:w="1362"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各级财政负担。</w:t>
            </w:r>
          </w:p>
        </w:tc>
        <w:tc>
          <w:tcPr>
            <w:tcW w:w="1223" w:type="dxa"/>
            <w:vAlign w:val="center"/>
          </w:tcPr>
          <w:p w:rsidR="002C2F4D" w:rsidRDefault="00061D81">
            <w:pPr>
              <w:adjustRightInd w:val="0"/>
              <w:snapToGrid w:val="0"/>
              <w:spacing w:line="280" w:lineRule="exact"/>
              <w:rPr>
                <w:rFonts w:eastAsia="仿宋_GB2312"/>
                <w:kern w:val="0"/>
                <w:sz w:val="24"/>
              </w:rPr>
            </w:pPr>
            <w:r>
              <w:rPr>
                <w:rFonts w:eastAsia="仿宋_GB2312" w:hint="eastAsia"/>
                <w:sz w:val="24"/>
              </w:rPr>
              <w:t>目标人群覆盖率</w:t>
            </w:r>
            <w:r>
              <w:rPr>
                <w:rFonts w:eastAsia="仿宋_GB2312"/>
                <w:sz w:val="24"/>
              </w:rPr>
              <w:t>100%</w:t>
            </w:r>
          </w:p>
        </w:tc>
      </w:tr>
      <w:tr w:rsidR="002C2F4D">
        <w:trPr>
          <w:cantSplit/>
          <w:trHeight w:val="392"/>
          <w:jc w:val="center"/>
        </w:trPr>
        <w:tc>
          <w:tcPr>
            <w:tcW w:w="1291"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收听广播</w:t>
            </w:r>
          </w:p>
        </w:tc>
        <w:tc>
          <w:tcPr>
            <w:tcW w:w="1650"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城乡居民</w:t>
            </w:r>
          </w:p>
        </w:tc>
        <w:tc>
          <w:tcPr>
            <w:tcW w:w="3975"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依托广电全媒体优势，提供广播节目和突发事件应急广播服务。通过地面无线方式提供不少于</w:t>
            </w:r>
            <w:r>
              <w:rPr>
                <w:rFonts w:eastAsia="仿宋_GB2312" w:hint="eastAsia"/>
                <w:kern w:val="0"/>
                <w:sz w:val="24"/>
              </w:rPr>
              <w:t>15</w:t>
            </w:r>
            <w:r>
              <w:rPr>
                <w:rFonts w:eastAsia="仿宋_GB2312" w:hint="eastAsia"/>
                <w:kern w:val="0"/>
                <w:sz w:val="24"/>
              </w:rPr>
              <w:t>套广播节目。</w:t>
            </w:r>
          </w:p>
        </w:tc>
        <w:tc>
          <w:tcPr>
            <w:tcW w:w="1362"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各级财政负担。</w:t>
            </w:r>
          </w:p>
        </w:tc>
        <w:tc>
          <w:tcPr>
            <w:tcW w:w="1223"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目标人群覆盖率</w:t>
            </w:r>
            <w:r>
              <w:rPr>
                <w:rFonts w:eastAsia="仿宋_GB2312"/>
                <w:kern w:val="0"/>
                <w:sz w:val="24"/>
              </w:rPr>
              <w:t>100%</w:t>
            </w:r>
          </w:p>
        </w:tc>
      </w:tr>
      <w:tr w:rsidR="002C2F4D">
        <w:trPr>
          <w:cantSplit/>
          <w:trHeight w:val="454"/>
          <w:jc w:val="center"/>
        </w:trPr>
        <w:tc>
          <w:tcPr>
            <w:tcW w:w="9501" w:type="dxa"/>
            <w:gridSpan w:val="5"/>
            <w:vAlign w:val="center"/>
          </w:tcPr>
          <w:p w:rsidR="002C2F4D" w:rsidRDefault="00061D81">
            <w:pPr>
              <w:adjustRightInd w:val="0"/>
              <w:snapToGrid w:val="0"/>
              <w:spacing w:line="280" w:lineRule="exact"/>
              <w:rPr>
                <w:rFonts w:eastAsia="楷体_GB2312"/>
                <w:kern w:val="0"/>
                <w:sz w:val="24"/>
              </w:rPr>
            </w:pPr>
            <w:r>
              <w:rPr>
                <w:rFonts w:eastAsia="楷体_GB2312" w:hint="eastAsia"/>
                <w:kern w:val="0"/>
                <w:sz w:val="24"/>
              </w:rPr>
              <w:t>新闻出版</w:t>
            </w:r>
          </w:p>
        </w:tc>
      </w:tr>
      <w:tr w:rsidR="002C2F4D">
        <w:trPr>
          <w:cantSplit/>
          <w:trHeight w:val="1457"/>
          <w:jc w:val="center"/>
        </w:trPr>
        <w:tc>
          <w:tcPr>
            <w:tcW w:w="1291"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读书看报</w:t>
            </w:r>
          </w:p>
        </w:tc>
        <w:tc>
          <w:tcPr>
            <w:tcW w:w="1650"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城乡居民</w:t>
            </w:r>
          </w:p>
        </w:tc>
        <w:tc>
          <w:tcPr>
            <w:tcW w:w="3975"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本市每个行政村至少有</w:t>
            </w:r>
            <w:r>
              <w:rPr>
                <w:rFonts w:eastAsia="仿宋_GB2312"/>
                <w:kern w:val="0"/>
                <w:sz w:val="24"/>
              </w:rPr>
              <w:t>1</w:t>
            </w:r>
            <w:r>
              <w:rPr>
                <w:rFonts w:eastAsia="仿宋_GB2312" w:hint="eastAsia"/>
                <w:kern w:val="0"/>
                <w:sz w:val="24"/>
              </w:rPr>
              <w:t>家农家书屋，城市书吧覆盖中心城区；特色品牌实体书店基本覆盖城乡。农家书屋藏书量不少于</w:t>
            </w:r>
            <w:r>
              <w:rPr>
                <w:rFonts w:eastAsia="仿宋_GB2312"/>
                <w:kern w:val="0"/>
                <w:sz w:val="24"/>
              </w:rPr>
              <w:t>2000</w:t>
            </w:r>
            <w:r>
              <w:rPr>
                <w:rFonts w:eastAsia="仿宋_GB2312" w:hint="eastAsia"/>
                <w:kern w:val="0"/>
                <w:sz w:val="24"/>
              </w:rPr>
              <w:t>册，有公共电子阅览室；城市书吧有数字阅读等新科技设施，藏书量不少于</w:t>
            </w:r>
            <w:r>
              <w:rPr>
                <w:rFonts w:eastAsia="仿宋_GB2312"/>
                <w:kern w:val="0"/>
                <w:sz w:val="24"/>
              </w:rPr>
              <w:t>3000</w:t>
            </w:r>
            <w:r>
              <w:rPr>
                <w:rFonts w:eastAsia="仿宋_GB2312" w:hint="eastAsia"/>
                <w:kern w:val="0"/>
                <w:sz w:val="24"/>
              </w:rPr>
              <w:t>册。</w:t>
            </w:r>
          </w:p>
        </w:tc>
        <w:tc>
          <w:tcPr>
            <w:tcW w:w="1362"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各级财政负担。</w:t>
            </w:r>
          </w:p>
        </w:tc>
        <w:tc>
          <w:tcPr>
            <w:tcW w:w="1223"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目标人群覆盖率</w:t>
            </w:r>
            <w:r>
              <w:rPr>
                <w:rFonts w:eastAsia="仿宋_GB2312"/>
                <w:kern w:val="0"/>
                <w:sz w:val="24"/>
              </w:rPr>
              <w:t>100%</w:t>
            </w:r>
          </w:p>
        </w:tc>
      </w:tr>
      <w:tr w:rsidR="002C2F4D">
        <w:trPr>
          <w:cantSplit/>
          <w:trHeight w:val="454"/>
          <w:jc w:val="center"/>
        </w:trPr>
        <w:tc>
          <w:tcPr>
            <w:tcW w:w="9501" w:type="dxa"/>
            <w:gridSpan w:val="5"/>
            <w:vAlign w:val="center"/>
          </w:tcPr>
          <w:p w:rsidR="002C2F4D" w:rsidRDefault="00061D81">
            <w:pPr>
              <w:adjustRightInd w:val="0"/>
              <w:snapToGrid w:val="0"/>
              <w:spacing w:line="280" w:lineRule="exact"/>
              <w:rPr>
                <w:rFonts w:eastAsia="楷体_GB2312"/>
                <w:kern w:val="0"/>
                <w:sz w:val="24"/>
              </w:rPr>
            </w:pPr>
            <w:r>
              <w:rPr>
                <w:rFonts w:eastAsia="楷体_GB2312" w:hint="eastAsia"/>
                <w:kern w:val="0"/>
                <w:sz w:val="24"/>
              </w:rPr>
              <w:t>群众体育</w:t>
            </w:r>
          </w:p>
        </w:tc>
      </w:tr>
      <w:tr w:rsidR="002C2F4D">
        <w:trPr>
          <w:cantSplit/>
          <w:trHeight w:val="199"/>
          <w:jc w:val="center"/>
        </w:trPr>
        <w:tc>
          <w:tcPr>
            <w:tcW w:w="1291"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公共体育设施开放</w:t>
            </w:r>
          </w:p>
        </w:tc>
        <w:tc>
          <w:tcPr>
            <w:tcW w:w="1650" w:type="dxa"/>
            <w:vAlign w:val="center"/>
          </w:tcPr>
          <w:p w:rsidR="002C2F4D" w:rsidRDefault="00061D81">
            <w:pPr>
              <w:adjustRightInd w:val="0"/>
              <w:snapToGrid w:val="0"/>
              <w:spacing w:line="280" w:lineRule="exact"/>
              <w:rPr>
                <w:rFonts w:eastAsia="仿宋_GB2312"/>
                <w:kern w:val="0"/>
                <w:sz w:val="24"/>
              </w:rPr>
            </w:pPr>
            <w:r>
              <w:rPr>
                <w:rFonts w:eastAsia="仿宋_GB2312"/>
                <w:sz w:val="24"/>
              </w:rPr>
              <w:t>城乡居民</w:t>
            </w:r>
          </w:p>
        </w:tc>
        <w:tc>
          <w:tcPr>
            <w:tcW w:w="3975" w:type="dxa"/>
            <w:vAlign w:val="center"/>
          </w:tcPr>
          <w:p w:rsidR="002C2F4D" w:rsidRDefault="00061D81">
            <w:pPr>
              <w:adjustRightInd w:val="0"/>
              <w:snapToGrid w:val="0"/>
              <w:spacing w:line="280" w:lineRule="exact"/>
              <w:rPr>
                <w:rFonts w:eastAsia="仿宋_GB2312"/>
                <w:sz w:val="24"/>
              </w:rPr>
            </w:pPr>
            <w:r>
              <w:rPr>
                <w:rFonts w:eastAsia="仿宋_GB2312" w:hint="eastAsia"/>
                <w:sz w:val="24"/>
              </w:rPr>
              <w:t>继续推进各区体育场地设施建设，不断完善城市社区</w:t>
            </w:r>
            <w:r>
              <w:rPr>
                <w:rFonts w:eastAsia="仿宋_GB2312"/>
                <w:sz w:val="24"/>
              </w:rPr>
              <w:t>15</w:t>
            </w:r>
            <w:r>
              <w:rPr>
                <w:rFonts w:eastAsia="仿宋_GB2312" w:hint="eastAsia"/>
                <w:sz w:val="24"/>
              </w:rPr>
              <w:t>分钟健身圈；完善大型公共体育设施免费或低收费开放政策，提升信息化管理水平，有序促进各类体育场地设施全面向社会开放，公共体育场馆开放率达</w:t>
            </w:r>
            <w:r>
              <w:rPr>
                <w:rFonts w:eastAsia="仿宋_GB2312"/>
                <w:sz w:val="24"/>
              </w:rPr>
              <w:t>100%</w:t>
            </w:r>
            <w:r>
              <w:rPr>
                <w:rFonts w:eastAsia="仿宋_GB2312" w:hint="eastAsia"/>
                <w:sz w:val="24"/>
              </w:rPr>
              <w:t>。</w:t>
            </w:r>
          </w:p>
        </w:tc>
        <w:tc>
          <w:tcPr>
            <w:tcW w:w="1362" w:type="dxa"/>
            <w:vAlign w:val="center"/>
          </w:tcPr>
          <w:p w:rsidR="002C2F4D" w:rsidRDefault="00061D81">
            <w:pPr>
              <w:adjustRightInd w:val="0"/>
              <w:snapToGrid w:val="0"/>
              <w:spacing w:line="280" w:lineRule="exact"/>
              <w:rPr>
                <w:rFonts w:eastAsia="仿宋_GB2312"/>
                <w:sz w:val="24"/>
              </w:rPr>
            </w:pPr>
            <w:r>
              <w:rPr>
                <w:rFonts w:eastAsia="仿宋_GB2312" w:hint="eastAsia"/>
                <w:sz w:val="24"/>
              </w:rPr>
              <w:t>各级财政负担。</w:t>
            </w:r>
          </w:p>
        </w:tc>
        <w:tc>
          <w:tcPr>
            <w:tcW w:w="1223"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目标人群覆盖率</w:t>
            </w:r>
            <w:r>
              <w:rPr>
                <w:rFonts w:eastAsia="仿宋_GB2312"/>
                <w:kern w:val="0"/>
                <w:sz w:val="24"/>
              </w:rPr>
              <w:t>100%</w:t>
            </w:r>
          </w:p>
        </w:tc>
      </w:tr>
      <w:tr w:rsidR="002C2F4D">
        <w:trPr>
          <w:cantSplit/>
          <w:trHeight w:val="461"/>
          <w:jc w:val="center"/>
        </w:trPr>
        <w:tc>
          <w:tcPr>
            <w:tcW w:w="1291"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全民健身服务</w:t>
            </w:r>
          </w:p>
        </w:tc>
        <w:tc>
          <w:tcPr>
            <w:tcW w:w="1650" w:type="dxa"/>
            <w:vAlign w:val="center"/>
          </w:tcPr>
          <w:p w:rsidR="002C2F4D" w:rsidRDefault="00061D81">
            <w:pPr>
              <w:adjustRightInd w:val="0"/>
              <w:snapToGrid w:val="0"/>
              <w:spacing w:line="280" w:lineRule="exact"/>
              <w:rPr>
                <w:rFonts w:eastAsia="仿宋_GB2312"/>
                <w:kern w:val="0"/>
                <w:sz w:val="24"/>
              </w:rPr>
            </w:pPr>
            <w:r>
              <w:rPr>
                <w:rFonts w:eastAsia="仿宋_GB2312"/>
                <w:sz w:val="24"/>
              </w:rPr>
              <w:t>城乡居民</w:t>
            </w:r>
          </w:p>
        </w:tc>
        <w:tc>
          <w:tcPr>
            <w:tcW w:w="3975" w:type="dxa"/>
            <w:vAlign w:val="center"/>
          </w:tcPr>
          <w:p w:rsidR="002C2F4D" w:rsidRDefault="00061D81">
            <w:pPr>
              <w:adjustRightInd w:val="0"/>
              <w:snapToGrid w:val="0"/>
              <w:spacing w:line="280" w:lineRule="exact"/>
              <w:rPr>
                <w:rFonts w:eastAsia="仿宋_GB2312"/>
                <w:sz w:val="24"/>
              </w:rPr>
            </w:pPr>
            <w:r>
              <w:rPr>
                <w:rFonts w:eastAsia="仿宋_GB2312" w:hint="eastAsia"/>
                <w:sz w:val="24"/>
              </w:rPr>
              <w:t>聚焦增强人民体质，健全促进本市全民健身制度性措施。建好全民健身设施，提升开放服务水平。广泛开展全民健身活动，提升全民健身赛事水平。强化全民健身组织，提升科学指导水平。</w:t>
            </w:r>
          </w:p>
        </w:tc>
        <w:tc>
          <w:tcPr>
            <w:tcW w:w="1362" w:type="dxa"/>
            <w:vAlign w:val="center"/>
          </w:tcPr>
          <w:p w:rsidR="002C2F4D" w:rsidRDefault="00061D81">
            <w:pPr>
              <w:adjustRightInd w:val="0"/>
              <w:snapToGrid w:val="0"/>
              <w:spacing w:line="280" w:lineRule="exact"/>
              <w:rPr>
                <w:rFonts w:eastAsia="仿宋_GB2312"/>
                <w:sz w:val="24"/>
              </w:rPr>
            </w:pPr>
            <w:r>
              <w:rPr>
                <w:rFonts w:eastAsia="仿宋_GB2312" w:hint="eastAsia"/>
                <w:sz w:val="24"/>
              </w:rPr>
              <w:t>各级财政负担。</w:t>
            </w:r>
          </w:p>
        </w:tc>
        <w:tc>
          <w:tcPr>
            <w:tcW w:w="1223" w:type="dxa"/>
            <w:vAlign w:val="center"/>
          </w:tcPr>
          <w:p w:rsidR="002C2F4D" w:rsidRDefault="00061D81">
            <w:pPr>
              <w:adjustRightInd w:val="0"/>
              <w:snapToGrid w:val="0"/>
              <w:spacing w:line="280" w:lineRule="exact"/>
              <w:rPr>
                <w:rFonts w:eastAsia="仿宋_GB2312"/>
                <w:kern w:val="0"/>
                <w:sz w:val="24"/>
              </w:rPr>
            </w:pPr>
            <w:r>
              <w:rPr>
                <w:rFonts w:eastAsia="仿宋_GB2312" w:hint="eastAsia"/>
                <w:kern w:val="0"/>
                <w:sz w:val="24"/>
              </w:rPr>
              <w:t>目标人群覆盖率</w:t>
            </w:r>
            <w:r>
              <w:rPr>
                <w:rFonts w:eastAsia="仿宋_GB2312"/>
                <w:kern w:val="0"/>
                <w:sz w:val="24"/>
              </w:rPr>
              <w:t>100%</w:t>
            </w:r>
          </w:p>
        </w:tc>
      </w:tr>
    </w:tbl>
    <w:p w:rsidR="002C2F4D" w:rsidRDefault="002C2F4D">
      <w:pPr>
        <w:pStyle w:val="3"/>
        <w:keepNext w:val="0"/>
        <w:keepLines w:val="0"/>
        <w:adjustRightInd w:val="0"/>
        <w:spacing w:before="0" w:after="0" w:line="240" w:lineRule="auto"/>
        <w:jc w:val="center"/>
      </w:pPr>
      <w:bookmarkStart w:id="49" w:name="_Toc65837411"/>
    </w:p>
    <w:p w:rsidR="002C2F4D" w:rsidRDefault="00061D81">
      <w:pPr>
        <w:pStyle w:val="3"/>
        <w:keepNext w:val="0"/>
        <w:keepLines w:val="0"/>
        <w:adjustRightInd w:val="0"/>
        <w:spacing w:before="0" w:after="0" w:line="240" w:lineRule="auto"/>
        <w:jc w:val="center"/>
        <w:rPr>
          <w:rFonts w:ascii="黑体" w:eastAsia="黑体" w:hAnsi="黑体" w:cs="黑体"/>
          <w:b w:val="0"/>
          <w:bCs w:val="0"/>
        </w:rPr>
      </w:pPr>
      <w:r>
        <w:rPr>
          <w:rFonts w:ascii="黑体" w:eastAsia="黑体" w:hAnsi="黑体" w:cs="黑体" w:hint="eastAsia"/>
          <w:b w:val="0"/>
          <w:bCs w:val="0"/>
        </w:rPr>
        <w:t>第三节</w:t>
      </w:r>
      <w:r>
        <w:rPr>
          <w:rFonts w:ascii="黑体" w:eastAsia="黑体" w:hAnsi="黑体" w:cs="黑体" w:hint="eastAsia"/>
          <w:b w:val="0"/>
          <w:bCs w:val="0"/>
        </w:rPr>
        <w:t xml:space="preserve">  </w:t>
      </w:r>
      <w:r>
        <w:rPr>
          <w:rFonts w:ascii="黑体" w:eastAsia="黑体" w:hAnsi="黑体" w:cs="黑体" w:hint="eastAsia"/>
          <w:b w:val="0"/>
          <w:bCs w:val="0"/>
        </w:rPr>
        <w:t>保障工程</w:t>
      </w:r>
      <w:bookmarkEnd w:id="49"/>
    </w:p>
    <w:p w:rsidR="002C2F4D" w:rsidRDefault="002C2F4D">
      <w:pPr>
        <w:adjustRightInd w:val="0"/>
        <w:rPr>
          <w:sz w:val="32"/>
          <w:szCs w:val="32"/>
        </w:rPr>
      </w:pPr>
    </w:p>
    <w:p w:rsidR="002C2F4D" w:rsidRDefault="00061D81" w:rsidP="00FA6DB5">
      <w:pPr>
        <w:pStyle w:val="a8"/>
        <w:widowControl w:val="0"/>
        <w:adjustRightInd w:val="0"/>
        <w:ind w:firstLineChars="200" w:firstLine="622"/>
        <w:rPr>
          <w:rFonts w:eastAsia="仿宋_GB2312"/>
          <w:sz w:val="32"/>
          <w:szCs w:val="32"/>
        </w:rPr>
      </w:pPr>
      <w:r>
        <w:rPr>
          <w:rFonts w:ascii="楷体_GB2312" w:eastAsia="楷体_GB2312" w:hAnsi="楷体_GB2312" w:cs="楷体_GB2312" w:hint="eastAsia"/>
          <w:sz w:val="32"/>
          <w:szCs w:val="32"/>
        </w:rPr>
        <w:t>实施公共文化设施完善计划。</w:t>
      </w:r>
      <w:r>
        <w:rPr>
          <w:rFonts w:ascii="仿宋_GB2312" w:eastAsia="仿宋_GB2312" w:hAnsi="Times New Roman" w:cs="仿宋_GB2312" w:hint="eastAsia"/>
          <w:sz w:val="32"/>
          <w:szCs w:val="32"/>
        </w:rPr>
        <w:t>进一步整合文博场馆和收藏单位的文物数据，建立健全可移动文物资源库，实现文物动态管理，推进文物资源社会共享。推动周恩来邓颖超纪念馆、平津战役纪念馆、李叔同故居纪念馆等陈列改陈工作，引导各纪念馆、博物馆策划推出思想性、艺术性、观赏性相统一的高质量展览。推动实施文物修复计划和预防性保护工程。鼓励和支持文博场馆进行文创产品开发工作。天津全市</w:t>
      </w:r>
      <w:r>
        <w:rPr>
          <w:rFonts w:eastAsia="仿宋_GB2312" w:hint="eastAsia"/>
          <w:sz w:val="32"/>
          <w:szCs w:val="32"/>
        </w:rPr>
        <w:t>图书馆总分馆实行统一系统平台、统一编目加工规范、统一流通规则、统一培训管理。推动未达到国家一级馆水平的区级图书馆、文化馆新建和改扩建。</w:t>
      </w:r>
    </w:p>
    <w:p w:rsidR="002C2F4D" w:rsidRDefault="00061D81" w:rsidP="00FA6DB5">
      <w:pPr>
        <w:adjustRightInd w:val="0"/>
        <w:ind w:firstLineChars="200" w:firstLine="622"/>
        <w:rPr>
          <w:rFonts w:ascii="仿宋_GB2312" w:eastAsia="仿宋_GB2312" w:cs="仿宋_GB2312"/>
          <w:kern w:val="0"/>
          <w:sz w:val="32"/>
          <w:szCs w:val="32"/>
        </w:rPr>
      </w:pPr>
      <w:r>
        <w:rPr>
          <w:rFonts w:ascii="楷体_GB2312" w:eastAsia="楷体_GB2312" w:hAnsi="楷体_GB2312" w:cs="楷体_GB2312" w:hint="eastAsia"/>
          <w:kern w:val="0"/>
          <w:sz w:val="32"/>
          <w:szCs w:val="32"/>
        </w:rPr>
        <w:t>实施公共文化服务</w:t>
      </w:r>
      <w:r>
        <w:rPr>
          <w:rFonts w:ascii="楷体_GB2312" w:eastAsia="楷体_GB2312" w:hAnsi="楷体_GB2312" w:cs="楷体_GB2312" w:hint="eastAsia"/>
          <w:kern w:val="0"/>
          <w:sz w:val="32"/>
          <w:szCs w:val="32"/>
        </w:rPr>
        <w:t>能力提升行动。</w:t>
      </w:r>
      <w:r>
        <w:rPr>
          <w:rFonts w:ascii="仿宋_GB2312" w:eastAsia="仿宋_GB2312" w:cs="仿宋_GB2312" w:hint="eastAsia"/>
          <w:sz w:val="32"/>
          <w:szCs w:val="32"/>
        </w:rPr>
        <w:t>推进基层综合性文化服务中心发挥效能，在街道（乡镇）</w:t>
      </w:r>
      <w:r>
        <w:rPr>
          <w:rFonts w:eastAsia="仿宋_GB2312" w:hint="eastAsia"/>
          <w:sz w:val="32"/>
          <w:szCs w:val="32"/>
        </w:rPr>
        <w:t>图书馆、文化馆</w:t>
      </w:r>
      <w:r>
        <w:rPr>
          <w:rFonts w:ascii="仿宋_GB2312" w:eastAsia="仿宋_GB2312" w:cs="仿宋_GB2312" w:hint="eastAsia"/>
          <w:sz w:val="32"/>
          <w:szCs w:val="32"/>
        </w:rPr>
        <w:t>分馆推广“五个一”文化建设，即建成</w:t>
      </w:r>
      <w:r>
        <w:rPr>
          <w:rFonts w:eastAsia="仿宋_GB2312"/>
          <w:sz w:val="32"/>
          <w:szCs w:val="32"/>
        </w:rPr>
        <w:t>1</w:t>
      </w:r>
      <w:r>
        <w:rPr>
          <w:rFonts w:eastAsia="仿宋_GB2312" w:hint="eastAsia"/>
          <w:sz w:val="32"/>
          <w:szCs w:val="32"/>
        </w:rPr>
        <w:t>个特色展馆、培育</w:t>
      </w:r>
      <w:r>
        <w:rPr>
          <w:rFonts w:eastAsia="仿宋_GB2312"/>
          <w:sz w:val="32"/>
          <w:szCs w:val="32"/>
        </w:rPr>
        <w:t>1</w:t>
      </w:r>
      <w:r>
        <w:rPr>
          <w:rFonts w:eastAsia="仿宋_GB2312" w:hint="eastAsia"/>
          <w:sz w:val="32"/>
          <w:szCs w:val="32"/>
        </w:rPr>
        <w:t>个活动品牌、扶持</w:t>
      </w:r>
      <w:r>
        <w:rPr>
          <w:rFonts w:eastAsia="仿宋_GB2312"/>
          <w:sz w:val="32"/>
          <w:szCs w:val="32"/>
        </w:rPr>
        <w:t>1</w:t>
      </w:r>
      <w:r>
        <w:rPr>
          <w:rFonts w:eastAsia="仿宋_GB2312" w:hint="eastAsia"/>
          <w:sz w:val="32"/>
          <w:szCs w:val="32"/>
        </w:rPr>
        <w:t>个群众文艺团体、组织</w:t>
      </w:r>
      <w:r>
        <w:rPr>
          <w:rFonts w:eastAsia="仿宋_GB2312"/>
          <w:sz w:val="32"/>
          <w:szCs w:val="32"/>
        </w:rPr>
        <w:t>1</w:t>
      </w:r>
      <w:r>
        <w:rPr>
          <w:rFonts w:eastAsia="仿宋_GB2312" w:hint="eastAsia"/>
          <w:sz w:val="32"/>
          <w:szCs w:val="32"/>
        </w:rPr>
        <w:t>次街镇文艺汇演、编排</w:t>
      </w:r>
      <w:r>
        <w:rPr>
          <w:rFonts w:eastAsia="仿宋_GB2312"/>
          <w:sz w:val="32"/>
          <w:szCs w:val="32"/>
        </w:rPr>
        <w:t>1</w:t>
      </w:r>
      <w:r>
        <w:rPr>
          <w:rFonts w:eastAsia="仿宋_GB2312" w:hint="eastAsia"/>
          <w:sz w:val="32"/>
          <w:szCs w:val="32"/>
        </w:rPr>
        <w:t>个特色节目</w:t>
      </w:r>
      <w:r>
        <w:rPr>
          <w:rFonts w:ascii="仿宋_GB2312" w:eastAsia="仿宋_GB2312" w:cs="仿宋_GB2312" w:hint="eastAsia"/>
          <w:sz w:val="32"/>
          <w:szCs w:val="32"/>
        </w:rPr>
        <w:t>。在社区（村）推广“三个一”文化建设，即培育</w:t>
      </w:r>
      <w:r>
        <w:rPr>
          <w:rFonts w:eastAsia="仿宋_GB2312"/>
          <w:sz w:val="32"/>
          <w:szCs w:val="32"/>
        </w:rPr>
        <w:t>1</w:t>
      </w:r>
      <w:r>
        <w:rPr>
          <w:rFonts w:eastAsia="仿宋_GB2312" w:hint="eastAsia"/>
          <w:sz w:val="32"/>
          <w:szCs w:val="32"/>
        </w:rPr>
        <w:t>个活动品牌、扶持</w:t>
      </w:r>
      <w:r>
        <w:rPr>
          <w:rFonts w:eastAsia="仿宋_GB2312"/>
          <w:sz w:val="32"/>
          <w:szCs w:val="32"/>
        </w:rPr>
        <w:t>1</w:t>
      </w:r>
      <w:r>
        <w:rPr>
          <w:rFonts w:eastAsia="仿宋_GB2312" w:hint="eastAsia"/>
          <w:sz w:val="32"/>
          <w:szCs w:val="32"/>
        </w:rPr>
        <w:t>个群众文艺团体、组织</w:t>
      </w:r>
      <w:r>
        <w:rPr>
          <w:rFonts w:eastAsia="仿宋_GB2312"/>
          <w:sz w:val="32"/>
          <w:szCs w:val="32"/>
        </w:rPr>
        <w:t>1</w:t>
      </w:r>
      <w:r>
        <w:rPr>
          <w:rFonts w:eastAsia="仿宋_GB2312" w:hint="eastAsia"/>
          <w:sz w:val="32"/>
          <w:szCs w:val="32"/>
        </w:rPr>
        <w:t>次基层文艺汇</w:t>
      </w:r>
      <w:r>
        <w:rPr>
          <w:rFonts w:ascii="仿宋_GB2312" w:eastAsia="仿宋_GB2312" w:cs="仿宋_GB2312" w:hint="eastAsia"/>
          <w:sz w:val="32"/>
          <w:szCs w:val="32"/>
        </w:rPr>
        <w:t>演。以“群星奖”评选为契机，深入推动全市群众文艺创作迈向新台阶。提升“东丽杯”、“天津市钢琴大赛”、“‘天津好童声’少儿歌手大赛”等国家和市级文艺活动品牌影响力，不断创新“梦想家”、“你好天真”等群众文化活动形</w:t>
      </w:r>
      <w:r>
        <w:rPr>
          <w:rFonts w:ascii="仿宋_GB2312" w:eastAsia="仿宋_GB2312" w:cs="仿宋_GB2312" w:hint="eastAsia"/>
          <w:sz w:val="32"/>
          <w:szCs w:val="32"/>
        </w:rPr>
        <w:t>式。精准对接群众文化需求，探索“点餐制”、“配给制”等差异性公共文化服务形式。</w:t>
      </w:r>
    </w:p>
    <w:p w:rsidR="002C2F4D" w:rsidRDefault="00061D81" w:rsidP="00FA6DB5">
      <w:pPr>
        <w:adjustRightInd w:val="0"/>
        <w:ind w:firstLineChars="200" w:firstLine="622"/>
        <w:rPr>
          <w:rFonts w:ascii="仿宋_GB2312" w:eastAsia="仿宋_GB2312" w:hAnsi="宋体" w:cs="仿宋_GB2312"/>
          <w:kern w:val="0"/>
          <w:sz w:val="32"/>
          <w:szCs w:val="32"/>
        </w:rPr>
      </w:pPr>
      <w:r>
        <w:rPr>
          <w:rFonts w:ascii="楷体_GB2312" w:eastAsia="楷体_GB2312" w:hAnsi="楷体_GB2312" w:cs="楷体_GB2312" w:hint="eastAsia"/>
          <w:kern w:val="0"/>
          <w:sz w:val="32"/>
          <w:szCs w:val="32"/>
        </w:rPr>
        <w:t>实施公共文化</w:t>
      </w:r>
      <w:r>
        <w:rPr>
          <w:rFonts w:ascii="楷体_GB2312" w:eastAsia="楷体_GB2312" w:hAnsi="楷体_GB2312" w:cs="楷体_GB2312"/>
          <w:kern w:val="0"/>
          <w:sz w:val="32"/>
          <w:szCs w:val="32"/>
        </w:rPr>
        <w:t>数字化</w:t>
      </w:r>
      <w:r>
        <w:rPr>
          <w:rFonts w:ascii="楷体_GB2312" w:eastAsia="楷体_GB2312" w:hAnsi="楷体_GB2312" w:cs="楷体_GB2312" w:hint="eastAsia"/>
          <w:kern w:val="0"/>
          <w:sz w:val="32"/>
          <w:szCs w:val="32"/>
        </w:rPr>
        <w:t>建设行动</w:t>
      </w:r>
      <w:r>
        <w:rPr>
          <w:rFonts w:ascii="楷体_GB2312" w:eastAsia="楷体_GB2312" w:hAnsi="楷体_GB2312" w:cs="楷体_GB2312"/>
          <w:kern w:val="0"/>
          <w:sz w:val="32"/>
          <w:szCs w:val="32"/>
        </w:rPr>
        <w:t>。</w:t>
      </w:r>
      <w:r>
        <w:rPr>
          <w:rFonts w:ascii="仿宋_GB2312" w:eastAsia="仿宋_GB2312" w:hAnsi="宋体" w:cs="仿宋_GB2312" w:hint="eastAsia"/>
          <w:kern w:val="0"/>
          <w:sz w:val="32"/>
          <w:szCs w:val="32"/>
        </w:rPr>
        <w:t>完善天津地方特色数字资源项目建设，重点建设包括微视频、图片、音频动漫等形式的新媒体资源。推进数字图书馆推广工程建设，提升数字化服务与管理能力，逐步实现对信息资源、建筑设备、读者用户、图书馆员的智慧化管理，构建新一代智慧图书馆平台。增进文化馆数字服务效能，加强线上艺术培训，推动全民艺术普及。提升群众文化活动直录播的录制场次与节目质量，优化数据流反馈模式，打造公共文化服务“用户画像</w:t>
      </w:r>
      <w:r>
        <w:rPr>
          <w:rFonts w:ascii="仿宋_GB2312" w:eastAsia="仿宋_GB2312" w:cs="仿宋_GB2312" w:hint="eastAsia"/>
          <w:sz w:val="32"/>
          <w:szCs w:val="32"/>
        </w:rPr>
        <w:t>”</w:t>
      </w:r>
      <w:r>
        <w:rPr>
          <w:rFonts w:ascii="仿宋_GB2312" w:eastAsia="仿宋_GB2312" w:cs="仿宋_GB2312"/>
          <w:sz w:val="32"/>
          <w:szCs w:val="32"/>
        </w:rPr>
        <w:t>。</w:t>
      </w:r>
      <w:r>
        <w:rPr>
          <w:rFonts w:ascii="仿宋_GB2312" w:eastAsia="仿宋_GB2312" w:hAnsi="宋体" w:cs="仿宋_GB2312" w:hint="eastAsia"/>
          <w:kern w:val="0"/>
          <w:sz w:val="32"/>
          <w:szCs w:val="32"/>
        </w:rPr>
        <w:t>推进天津市博物馆公共服务平台建设，整合全</w:t>
      </w:r>
      <w:r>
        <w:rPr>
          <w:rFonts w:eastAsia="仿宋_GB2312" w:hint="eastAsia"/>
          <w:kern w:val="0"/>
          <w:sz w:val="32"/>
          <w:szCs w:val="32"/>
        </w:rPr>
        <w:t>市</w:t>
      </w:r>
      <w:r>
        <w:rPr>
          <w:rFonts w:eastAsia="仿宋_GB2312"/>
          <w:kern w:val="0"/>
          <w:sz w:val="32"/>
          <w:szCs w:val="32"/>
        </w:rPr>
        <w:t>73</w:t>
      </w:r>
      <w:r>
        <w:rPr>
          <w:rFonts w:eastAsia="仿宋_GB2312" w:hint="eastAsia"/>
          <w:kern w:val="0"/>
          <w:sz w:val="32"/>
          <w:szCs w:val="32"/>
        </w:rPr>
        <w:t>家博</w:t>
      </w:r>
      <w:r>
        <w:rPr>
          <w:rFonts w:ascii="仿宋_GB2312" w:eastAsia="仿宋_GB2312" w:hAnsi="宋体" w:cs="仿宋_GB2312" w:hint="eastAsia"/>
          <w:kern w:val="0"/>
          <w:sz w:val="32"/>
          <w:szCs w:val="32"/>
        </w:rPr>
        <w:t>物馆数字资源，面向社会提供博物馆地图导览、精品藏品展示、虚拟展厅、动态资讯等公众服务。</w:t>
      </w:r>
    </w:p>
    <w:p w:rsidR="002C2F4D" w:rsidRDefault="00061D81" w:rsidP="00FA6DB5">
      <w:pPr>
        <w:adjustRightInd w:val="0"/>
        <w:ind w:firstLineChars="200" w:firstLine="622"/>
        <w:rPr>
          <w:rFonts w:ascii="仿宋_GB2312" w:eastAsia="仿宋_GB2312" w:hAnsi="宋体" w:cs="仿宋_GB2312"/>
          <w:kern w:val="0"/>
          <w:sz w:val="32"/>
          <w:szCs w:val="32"/>
        </w:rPr>
      </w:pPr>
      <w:r>
        <w:rPr>
          <w:rFonts w:ascii="楷体_GB2312" w:eastAsia="楷体_GB2312" w:hAnsi="楷体_GB2312" w:cs="楷体_GB2312" w:hint="eastAsia"/>
          <w:kern w:val="0"/>
          <w:sz w:val="32"/>
          <w:szCs w:val="32"/>
        </w:rPr>
        <w:t>实施吸引社会力量参与文化建设计划。</w:t>
      </w:r>
      <w:r>
        <w:rPr>
          <w:rFonts w:ascii="仿宋_GB2312" w:eastAsia="仿宋_GB2312" w:hAnsi="宋体" w:cs="仿宋_GB2312" w:hint="eastAsia"/>
          <w:kern w:val="0"/>
          <w:sz w:val="32"/>
          <w:szCs w:val="32"/>
        </w:rPr>
        <w:t>扩大政府购买公共文化服务范围和规模，完善政府购买公益性演出、展览等公共文化服务的指导性目录，构建购买主体、服务对象和第三方共同参与的综合绩效评价制度，建立优胜劣汰的奖惩机制。积极通过文化</w:t>
      </w:r>
      <w:r>
        <w:rPr>
          <w:rFonts w:ascii="仿宋_GB2312" w:eastAsia="仿宋_GB2312" w:hAnsi="宋体" w:cs="仿宋_GB2312" w:hint="eastAsia"/>
          <w:spacing w:val="-2"/>
          <w:kern w:val="0"/>
          <w:sz w:val="32"/>
          <w:szCs w:val="32"/>
        </w:rPr>
        <w:t>惠民卡、文化惠民演出季等项目，吸引各类文艺表演团体广泛参与，繁荣本市文艺表演市场，定期组织优秀民营文艺表演团体展演。</w:t>
      </w:r>
    </w:p>
    <w:p w:rsidR="002C2F4D" w:rsidRDefault="00061D81" w:rsidP="00FA6DB5">
      <w:pPr>
        <w:adjustRightInd w:val="0"/>
        <w:ind w:firstLineChars="200" w:firstLine="622"/>
        <w:rPr>
          <w:rFonts w:ascii="仿宋_GB2312" w:eastAsia="仿宋_GB2312" w:hAnsi="宋体" w:cs="仿宋_GB2312"/>
          <w:bCs/>
          <w:kern w:val="0"/>
          <w:sz w:val="32"/>
          <w:szCs w:val="32"/>
        </w:rPr>
      </w:pPr>
      <w:r>
        <w:rPr>
          <w:rFonts w:ascii="楷体_GB2312" w:eastAsia="楷体_GB2312" w:hAnsi="楷体_GB2312" w:cs="楷体_GB2312" w:hint="eastAsia"/>
          <w:kern w:val="0"/>
          <w:sz w:val="32"/>
          <w:szCs w:val="32"/>
        </w:rPr>
        <w:t>实施广播电视服务能力提升计划。</w:t>
      </w:r>
      <w:r>
        <w:rPr>
          <w:rFonts w:ascii="仿宋_GB2312" w:eastAsia="仿宋_GB2312" w:hAnsi="宋体" w:cs="仿宋_GB2312" w:hint="eastAsia"/>
          <w:bCs/>
          <w:kern w:val="0"/>
          <w:sz w:val="32"/>
          <w:szCs w:val="32"/>
        </w:rPr>
        <w:t>推进应</w:t>
      </w:r>
      <w:r>
        <w:rPr>
          <w:rFonts w:ascii="仿宋_GB2312" w:eastAsia="仿宋_GB2312" w:hAnsi="宋体" w:cs="仿宋_GB2312" w:hint="eastAsia"/>
          <w:bCs/>
          <w:kern w:val="0"/>
          <w:sz w:val="32"/>
          <w:szCs w:val="32"/>
        </w:rPr>
        <w:t>急广播体系建设</w:t>
      </w:r>
      <w:r>
        <w:rPr>
          <w:rFonts w:ascii="仿宋_GB2312" w:eastAsia="仿宋_GB2312" w:hAnsi="宋体" w:cs="仿宋_GB2312" w:hint="eastAsia"/>
          <w:bCs/>
          <w:kern w:val="0"/>
          <w:sz w:val="32"/>
          <w:szCs w:val="32"/>
        </w:rPr>
        <w:t>，</w:t>
      </w:r>
      <w:r>
        <w:rPr>
          <w:rFonts w:ascii="仿宋_GB2312" w:eastAsia="仿宋_GB2312" w:hAnsi="宋体" w:cs="仿宋_GB2312"/>
          <w:bCs/>
          <w:kern w:val="0"/>
          <w:sz w:val="32"/>
          <w:szCs w:val="32"/>
        </w:rPr>
        <w:t>建设市、区两级应急广播平台</w:t>
      </w:r>
      <w:r>
        <w:rPr>
          <w:rFonts w:ascii="仿宋_GB2312" w:eastAsia="仿宋_GB2312" w:hAnsi="宋体" w:cs="仿宋_GB2312" w:hint="eastAsia"/>
          <w:bCs/>
          <w:kern w:val="0"/>
          <w:sz w:val="32"/>
          <w:szCs w:val="32"/>
        </w:rPr>
        <w:t>，</w:t>
      </w:r>
      <w:r>
        <w:rPr>
          <w:rFonts w:ascii="仿宋_GB2312" w:eastAsia="仿宋_GB2312" w:hAnsi="宋体" w:cs="仿宋_GB2312"/>
          <w:bCs/>
          <w:kern w:val="0"/>
          <w:sz w:val="32"/>
          <w:szCs w:val="32"/>
        </w:rPr>
        <w:t>加强应急广播体系传输覆盖网系统建设</w:t>
      </w:r>
      <w:r>
        <w:rPr>
          <w:rFonts w:ascii="仿宋_GB2312" w:eastAsia="仿宋_GB2312" w:hAnsi="宋体" w:cs="仿宋_GB2312" w:hint="eastAsia"/>
          <w:bCs/>
          <w:kern w:val="0"/>
          <w:sz w:val="32"/>
          <w:szCs w:val="32"/>
        </w:rPr>
        <w:t>，</w:t>
      </w:r>
      <w:r>
        <w:rPr>
          <w:rFonts w:ascii="仿宋_GB2312" w:eastAsia="仿宋_GB2312" w:hAnsi="宋体" w:cs="仿宋_GB2312"/>
          <w:bCs/>
          <w:kern w:val="0"/>
          <w:sz w:val="32"/>
          <w:szCs w:val="32"/>
        </w:rPr>
        <w:t>实现应急广播系统全覆盖。加快建设智慧广电网络，发展</w:t>
      </w:r>
      <w:r>
        <w:rPr>
          <w:rFonts w:ascii="仿宋_GB2312" w:eastAsia="仿宋_GB2312" w:hAnsi="宋体" w:cs="仿宋_GB2312" w:hint="eastAsia"/>
          <w:kern w:val="0"/>
          <w:sz w:val="32"/>
          <w:szCs w:val="32"/>
        </w:rPr>
        <w:t>“</w:t>
      </w:r>
      <w:r>
        <w:rPr>
          <w:rFonts w:ascii="仿宋_GB2312" w:eastAsia="仿宋_GB2312" w:hAnsi="宋体" w:cs="仿宋_GB2312"/>
          <w:bCs/>
          <w:kern w:val="0"/>
          <w:sz w:val="32"/>
          <w:szCs w:val="32"/>
        </w:rPr>
        <w:t>电视</w:t>
      </w:r>
      <w:r>
        <w:rPr>
          <w:rFonts w:ascii="仿宋_GB2312" w:eastAsia="仿宋_GB2312" w:hAnsi="宋体" w:cs="仿宋_GB2312"/>
          <w:bCs/>
          <w:kern w:val="0"/>
          <w:sz w:val="32"/>
          <w:szCs w:val="32"/>
        </w:rPr>
        <w:t>+</w:t>
      </w:r>
      <w:r>
        <w:rPr>
          <w:rFonts w:ascii="仿宋_GB2312" w:eastAsia="仿宋_GB2312" w:hAnsi="宋体" w:cs="仿宋_GB2312"/>
          <w:bCs/>
          <w:kern w:val="0"/>
          <w:sz w:val="32"/>
          <w:szCs w:val="32"/>
        </w:rPr>
        <w:t>语音</w:t>
      </w:r>
      <w:r>
        <w:rPr>
          <w:rFonts w:ascii="仿宋_GB2312" w:eastAsia="仿宋_GB2312" w:hAnsi="宋体" w:cs="仿宋_GB2312"/>
          <w:bCs/>
          <w:kern w:val="0"/>
          <w:sz w:val="32"/>
          <w:szCs w:val="32"/>
        </w:rPr>
        <w:t>+</w:t>
      </w:r>
      <w:r>
        <w:rPr>
          <w:rFonts w:ascii="仿宋_GB2312" w:eastAsia="仿宋_GB2312" w:hAnsi="宋体" w:cs="仿宋_GB2312"/>
          <w:bCs/>
          <w:kern w:val="0"/>
          <w:sz w:val="32"/>
          <w:szCs w:val="32"/>
        </w:rPr>
        <w:t>互联网</w:t>
      </w:r>
      <w:r>
        <w:rPr>
          <w:rFonts w:ascii="仿宋_GB2312" w:eastAsia="仿宋_GB2312" w:hAnsi="宋体" w:cs="仿宋_GB2312"/>
          <w:bCs/>
          <w:kern w:val="0"/>
          <w:sz w:val="32"/>
          <w:szCs w:val="32"/>
        </w:rPr>
        <w:t>+</w:t>
      </w:r>
      <w:r>
        <w:rPr>
          <w:rFonts w:ascii="仿宋_GB2312" w:eastAsia="仿宋_GB2312" w:hAnsi="宋体" w:cs="仿宋_GB2312"/>
          <w:bCs/>
          <w:kern w:val="0"/>
          <w:sz w:val="32"/>
          <w:szCs w:val="32"/>
        </w:rPr>
        <w:t>智能家居</w:t>
      </w:r>
      <w:r>
        <w:rPr>
          <w:rFonts w:ascii="仿宋_GB2312" w:eastAsia="仿宋_GB2312" w:hAnsi="宋体" w:cs="仿宋_GB2312"/>
          <w:bCs/>
          <w:kern w:val="0"/>
          <w:sz w:val="32"/>
          <w:szCs w:val="32"/>
        </w:rPr>
        <w:t>+</w:t>
      </w:r>
      <w:r>
        <w:rPr>
          <w:rFonts w:ascii="仿宋_GB2312" w:eastAsia="仿宋_GB2312" w:hAnsi="宋体" w:cs="仿宋_GB2312"/>
          <w:bCs/>
          <w:kern w:val="0"/>
          <w:sz w:val="32"/>
          <w:szCs w:val="32"/>
        </w:rPr>
        <w:t>智慧社区</w:t>
      </w:r>
      <w:r>
        <w:rPr>
          <w:rFonts w:ascii="仿宋_GB2312" w:eastAsia="仿宋_GB2312" w:hAnsi="宋体" w:cs="仿宋_GB2312"/>
          <w:bCs/>
          <w:kern w:val="0"/>
          <w:sz w:val="32"/>
          <w:szCs w:val="32"/>
        </w:rPr>
        <w:t>+</w:t>
      </w:r>
      <w:r>
        <w:rPr>
          <w:rFonts w:ascii="仿宋_GB2312" w:eastAsia="仿宋_GB2312" w:hAnsi="宋体" w:cs="仿宋_GB2312"/>
          <w:bCs/>
          <w:kern w:val="0"/>
          <w:sz w:val="32"/>
          <w:szCs w:val="32"/>
        </w:rPr>
        <w:t>智慧城市</w:t>
      </w:r>
      <w:r>
        <w:rPr>
          <w:rFonts w:ascii="仿宋_GB2312" w:eastAsia="仿宋_GB2312" w:hAnsi="宋体" w:cs="仿宋_GB2312" w:hint="eastAsia"/>
          <w:kern w:val="0"/>
          <w:sz w:val="32"/>
          <w:szCs w:val="32"/>
        </w:rPr>
        <w:t>”</w:t>
      </w:r>
      <w:r>
        <w:rPr>
          <w:rFonts w:ascii="仿宋_GB2312" w:eastAsia="仿宋_GB2312" w:hAnsi="宋体" w:cs="仿宋_GB2312"/>
          <w:bCs/>
          <w:kern w:val="0"/>
          <w:sz w:val="32"/>
          <w:szCs w:val="32"/>
        </w:rPr>
        <w:t>等多</w:t>
      </w:r>
      <w:r>
        <w:rPr>
          <w:rFonts w:ascii="仿宋_GB2312" w:eastAsia="仿宋_GB2312" w:hAnsi="宋体" w:cs="仿宋_GB2312"/>
          <w:bCs/>
          <w:kern w:val="0"/>
          <w:sz w:val="32"/>
          <w:szCs w:val="32"/>
        </w:rPr>
        <w:t>种综合业务。</w:t>
      </w:r>
      <w:r>
        <w:rPr>
          <w:rFonts w:ascii="仿宋_GB2312" w:eastAsia="仿宋_GB2312" w:hAnsi="宋体" w:cs="仿宋_GB2312" w:hint="eastAsia"/>
          <w:bCs/>
          <w:kern w:val="0"/>
          <w:sz w:val="32"/>
          <w:szCs w:val="32"/>
        </w:rPr>
        <w:t>增加农村公益数字电影室内放映、固定场所放映比例，提升片源质量。</w:t>
      </w:r>
    </w:p>
    <w:p w:rsidR="002C2F4D" w:rsidRDefault="00061D81" w:rsidP="00FA6DB5">
      <w:pPr>
        <w:adjustRightInd w:val="0"/>
        <w:ind w:firstLineChars="200" w:firstLine="622"/>
        <w:rPr>
          <w:rFonts w:ascii="仿宋_GB2312" w:eastAsia="仿宋_GB2312" w:hAnsi="宋体" w:cs="仿宋_GB2312"/>
          <w:kern w:val="0"/>
          <w:sz w:val="32"/>
          <w:szCs w:val="32"/>
        </w:rPr>
      </w:pPr>
      <w:r>
        <w:rPr>
          <w:rFonts w:ascii="楷体_GB2312" w:eastAsia="楷体_GB2312" w:hAnsi="楷体_GB2312" w:cs="楷体_GB2312" w:hint="eastAsia"/>
          <w:kern w:val="0"/>
          <w:sz w:val="32"/>
          <w:szCs w:val="32"/>
        </w:rPr>
        <w:t>深入开展书香天津·全民阅读活动。</w:t>
      </w:r>
      <w:r>
        <w:rPr>
          <w:rFonts w:ascii="仿宋_GB2312" w:eastAsia="仿宋_GB2312" w:hAnsi="宋体" w:cs="仿宋_GB2312" w:hint="eastAsia"/>
          <w:kern w:val="0"/>
          <w:sz w:val="32"/>
          <w:szCs w:val="32"/>
        </w:rPr>
        <w:t>举办书香天津·读书月全民阅读系列推广活动，举办书香天津·惠民书展，提升群众参与度、平台辐射面和品牌号召力。组织开展“书香之家</w:t>
      </w:r>
      <w:r>
        <w:rPr>
          <w:rFonts w:ascii="仿宋_GB2312" w:eastAsia="仿宋_GB2312" w:cs="仿宋_GB2312" w:hint="eastAsia"/>
          <w:sz w:val="32"/>
          <w:szCs w:val="32"/>
        </w:rPr>
        <w:t>”、“</w:t>
      </w:r>
      <w:r>
        <w:rPr>
          <w:rFonts w:ascii="仿宋_GB2312" w:eastAsia="仿宋_GB2312" w:hAnsi="宋体" w:cs="仿宋_GB2312" w:hint="eastAsia"/>
          <w:kern w:val="0"/>
          <w:sz w:val="32"/>
          <w:szCs w:val="32"/>
        </w:rPr>
        <w:t>优秀读书少年</w:t>
      </w:r>
      <w:r>
        <w:rPr>
          <w:rFonts w:ascii="仿宋_GB2312" w:eastAsia="仿宋_GB2312" w:cs="仿宋_GB2312" w:hint="eastAsia"/>
          <w:sz w:val="32"/>
          <w:szCs w:val="32"/>
        </w:rPr>
        <w:t>”、“</w:t>
      </w:r>
      <w:r>
        <w:rPr>
          <w:rFonts w:ascii="仿宋_GB2312" w:eastAsia="仿宋_GB2312" w:hAnsi="宋体" w:cs="仿宋_GB2312" w:hint="eastAsia"/>
          <w:kern w:val="0"/>
          <w:sz w:val="32"/>
          <w:szCs w:val="32"/>
        </w:rPr>
        <w:t>阅读之星</w:t>
      </w:r>
      <w:r>
        <w:rPr>
          <w:rFonts w:ascii="仿宋_GB2312" w:eastAsia="仿宋_GB2312" w:cs="仿宋_GB2312" w:hint="eastAsia"/>
          <w:sz w:val="32"/>
          <w:szCs w:val="32"/>
        </w:rPr>
        <w:t>”、“</w:t>
      </w:r>
      <w:r>
        <w:rPr>
          <w:rFonts w:ascii="仿宋_GB2312" w:eastAsia="仿宋_GB2312" w:hAnsi="宋体" w:cs="仿宋_GB2312" w:hint="eastAsia"/>
          <w:kern w:val="0"/>
          <w:sz w:val="32"/>
          <w:szCs w:val="32"/>
        </w:rPr>
        <w:t>示范书屋书吧</w:t>
      </w:r>
      <w:r>
        <w:rPr>
          <w:rFonts w:ascii="仿宋_GB2312" w:eastAsia="仿宋_GB2312" w:cs="仿宋_GB2312" w:hint="eastAsia"/>
          <w:sz w:val="32"/>
          <w:szCs w:val="32"/>
        </w:rPr>
        <w:t>”、“</w:t>
      </w:r>
      <w:r>
        <w:rPr>
          <w:rFonts w:ascii="仿宋_GB2312" w:eastAsia="仿宋_GB2312" w:hAnsi="宋体" w:cs="仿宋_GB2312" w:hint="eastAsia"/>
          <w:kern w:val="0"/>
          <w:sz w:val="32"/>
          <w:szCs w:val="32"/>
        </w:rPr>
        <w:t>最美实体书店</w:t>
      </w:r>
      <w:r>
        <w:rPr>
          <w:rFonts w:ascii="仿宋_GB2312" w:eastAsia="仿宋_GB2312" w:cs="仿宋_GB2312" w:hint="eastAsia"/>
          <w:sz w:val="32"/>
          <w:szCs w:val="32"/>
        </w:rPr>
        <w:t>”、“</w:t>
      </w:r>
      <w:r>
        <w:rPr>
          <w:rFonts w:ascii="仿宋_GB2312" w:eastAsia="仿宋_GB2312" w:hAnsi="宋体" w:cs="仿宋_GB2312" w:hint="eastAsia"/>
          <w:kern w:val="0"/>
          <w:sz w:val="32"/>
          <w:szCs w:val="32"/>
        </w:rPr>
        <w:t>优秀阅读推广人”等推选活动，评选一批“书童书叟</w:t>
      </w:r>
      <w:r>
        <w:rPr>
          <w:rFonts w:ascii="仿宋_GB2312" w:eastAsia="仿宋_GB2312" w:cs="仿宋_GB2312" w:hint="eastAsia"/>
          <w:sz w:val="32"/>
          <w:szCs w:val="32"/>
        </w:rPr>
        <w:t>”</w:t>
      </w:r>
      <w:r>
        <w:rPr>
          <w:rFonts w:ascii="仿宋_GB2312" w:eastAsia="仿宋_GB2312" w:cs="仿宋_GB2312"/>
          <w:sz w:val="32"/>
          <w:szCs w:val="32"/>
        </w:rPr>
        <w:t>。</w:t>
      </w:r>
      <w:r>
        <w:rPr>
          <w:rFonts w:ascii="仿宋_GB2312" w:eastAsia="仿宋_GB2312" w:hAnsi="宋体" w:cs="仿宋_GB2312" w:hint="eastAsia"/>
          <w:kern w:val="0"/>
          <w:sz w:val="32"/>
          <w:szCs w:val="32"/>
        </w:rPr>
        <w:t>在历史风貌街区、商业聚集区、特色名街、休闲文化广场、校园内外、工业园区、机场车站建设“商业</w:t>
      </w:r>
      <w:r>
        <w:rPr>
          <w:rFonts w:ascii="仿宋_GB2312" w:eastAsia="仿宋_GB2312" w:hAnsi="宋体" w:cs="仿宋_GB2312"/>
          <w:kern w:val="0"/>
          <w:sz w:val="32"/>
          <w:szCs w:val="32"/>
        </w:rPr>
        <w:t>+</w:t>
      </w:r>
      <w:r>
        <w:rPr>
          <w:rFonts w:ascii="仿宋_GB2312" w:eastAsia="仿宋_GB2312" w:hAnsi="宋体" w:cs="仿宋_GB2312"/>
          <w:kern w:val="0"/>
          <w:sz w:val="32"/>
          <w:szCs w:val="32"/>
        </w:rPr>
        <w:t>书吧</w:t>
      </w:r>
      <w:r>
        <w:rPr>
          <w:rFonts w:ascii="仿宋_GB2312" w:eastAsia="仿宋_GB2312" w:cs="仿宋_GB2312" w:hint="eastAsia"/>
          <w:sz w:val="32"/>
          <w:szCs w:val="32"/>
        </w:rPr>
        <w:t>”、“</w:t>
      </w:r>
      <w:r>
        <w:rPr>
          <w:rFonts w:ascii="仿宋_GB2312" w:eastAsia="仿宋_GB2312" w:hAnsi="宋体" w:cs="仿宋_GB2312"/>
          <w:kern w:val="0"/>
          <w:sz w:val="32"/>
          <w:szCs w:val="32"/>
        </w:rPr>
        <w:t>餐饮</w:t>
      </w:r>
      <w:r>
        <w:rPr>
          <w:rFonts w:ascii="仿宋_GB2312" w:eastAsia="仿宋_GB2312" w:hAnsi="宋体" w:cs="仿宋_GB2312"/>
          <w:kern w:val="0"/>
          <w:sz w:val="32"/>
          <w:szCs w:val="32"/>
        </w:rPr>
        <w:t>+</w:t>
      </w:r>
      <w:r>
        <w:rPr>
          <w:rFonts w:ascii="仿宋_GB2312" w:eastAsia="仿宋_GB2312" w:hAnsi="宋体" w:cs="仿宋_GB2312"/>
          <w:kern w:val="0"/>
          <w:sz w:val="32"/>
          <w:szCs w:val="32"/>
        </w:rPr>
        <w:t>书吧</w:t>
      </w:r>
      <w:r>
        <w:rPr>
          <w:rFonts w:ascii="仿宋_GB2312" w:eastAsia="仿宋_GB2312" w:cs="仿宋_GB2312" w:hint="eastAsia"/>
          <w:sz w:val="32"/>
          <w:szCs w:val="32"/>
        </w:rPr>
        <w:t>”、“</w:t>
      </w:r>
      <w:r>
        <w:rPr>
          <w:rFonts w:ascii="仿宋_GB2312" w:eastAsia="仿宋_GB2312" w:hAnsi="宋体" w:cs="仿宋_GB2312"/>
          <w:kern w:val="0"/>
          <w:sz w:val="32"/>
          <w:szCs w:val="32"/>
        </w:rPr>
        <w:t>艺术</w:t>
      </w:r>
      <w:r>
        <w:rPr>
          <w:rFonts w:ascii="仿宋_GB2312" w:eastAsia="仿宋_GB2312" w:hAnsi="宋体" w:cs="仿宋_GB2312"/>
          <w:kern w:val="0"/>
          <w:sz w:val="32"/>
          <w:szCs w:val="32"/>
        </w:rPr>
        <w:t>+</w:t>
      </w:r>
      <w:r>
        <w:rPr>
          <w:rFonts w:ascii="仿宋_GB2312" w:eastAsia="仿宋_GB2312" w:hAnsi="宋体" w:cs="仿宋_GB2312"/>
          <w:kern w:val="0"/>
          <w:sz w:val="32"/>
          <w:szCs w:val="32"/>
        </w:rPr>
        <w:t>书吧</w:t>
      </w:r>
      <w:r>
        <w:rPr>
          <w:rFonts w:ascii="仿宋_GB2312" w:eastAsia="仿宋_GB2312" w:cs="仿宋_GB2312" w:hint="eastAsia"/>
          <w:sz w:val="32"/>
          <w:szCs w:val="32"/>
        </w:rPr>
        <w:t>”、“</w:t>
      </w:r>
      <w:r>
        <w:rPr>
          <w:rFonts w:ascii="仿宋_GB2312" w:eastAsia="仿宋_GB2312" w:hAnsi="宋体" w:cs="仿宋_GB2312" w:hint="eastAsia"/>
          <w:kern w:val="0"/>
          <w:sz w:val="32"/>
          <w:szCs w:val="32"/>
        </w:rPr>
        <w:t>校园</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书吧”</w:t>
      </w:r>
      <w:r>
        <w:rPr>
          <w:rFonts w:ascii="仿宋_GB2312" w:eastAsia="仿宋_GB2312" w:hAnsi="宋体" w:cs="仿宋_GB2312"/>
          <w:kern w:val="0"/>
          <w:sz w:val="32"/>
          <w:szCs w:val="32"/>
        </w:rPr>
        <w:t>等业态的城市书吧阅读新空间。积极探索共享书店，实现由买书</w:t>
      </w:r>
      <w:r>
        <w:rPr>
          <w:rFonts w:ascii="仿宋_GB2312" w:eastAsia="仿宋_GB2312" w:hAnsi="宋体" w:cs="宋体" w:hint="eastAsia"/>
          <w:kern w:val="0"/>
          <w:sz w:val="32"/>
          <w:szCs w:val="32"/>
        </w:rPr>
        <w:t>到借书、由书店到书房、由个人阅读到共享阅读的转变。充</w:t>
      </w:r>
      <w:r>
        <w:rPr>
          <w:rFonts w:ascii="仿宋_GB2312" w:eastAsia="仿宋_GB2312" w:hAnsi="宋体" w:cs="仿宋_GB2312" w:hint="eastAsia"/>
          <w:kern w:val="0"/>
          <w:sz w:val="32"/>
          <w:szCs w:val="32"/>
        </w:rPr>
        <w:t>分运用“学习强国”学习平台组织开展专题阅读活动。</w:t>
      </w:r>
    </w:p>
    <w:p w:rsidR="002C2F4D" w:rsidRDefault="00061D81" w:rsidP="00FA6DB5">
      <w:pPr>
        <w:widowControl/>
        <w:adjustRightInd w:val="0"/>
        <w:ind w:firstLineChars="200" w:firstLine="622"/>
        <w:jc w:val="left"/>
        <w:rPr>
          <w:rFonts w:ascii="黑体" w:eastAsia="黑体"/>
          <w:bCs/>
          <w:kern w:val="0"/>
          <w:sz w:val="32"/>
          <w:szCs w:val="32"/>
        </w:rPr>
      </w:pPr>
      <w:r>
        <w:rPr>
          <w:rFonts w:ascii="楷体_GB2312" w:eastAsia="楷体_GB2312" w:hAnsi="楷体_GB2312" w:cs="楷体_GB2312" w:hint="eastAsia"/>
          <w:kern w:val="0"/>
          <w:sz w:val="32"/>
          <w:szCs w:val="32"/>
        </w:rPr>
        <w:t>实施全民健身行动。</w:t>
      </w:r>
      <w:r>
        <w:rPr>
          <w:rFonts w:ascii="仿宋_GB2312" w:eastAsia="仿宋_GB2312" w:hAnsi="宋体" w:cs="仿宋_GB2312" w:hint="eastAsia"/>
          <w:kern w:val="0"/>
          <w:sz w:val="32"/>
          <w:szCs w:val="32"/>
        </w:rPr>
        <w:t>全面落实《国务院办公厅关于加强全民健身场地设施建设发展群众体育的意见》（国办发</w:t>
      </w:r>
      <w:r>
        <w:rPr>
          <w:rFonts w:eastAsia="仿宋_GB2312" w:hint="eastAsia"/>
          <w:kern w:val="0"/>
          <w:sz w:val="32"/>
          <w:szCs w:val="32"/>
        </w:rPr>
        <w:t>〔</w:t>
      </w:r>
      <w:r>
        <w:rPr>
          <w:rFonts w:eastAsia="仿宋_GB2312"/>
          <w:kern w:val="0"/>
          <w:sz w:val="32"/>
          <w:szCs w:val="32"/>
        </w:rPr>
        <w:t>202</w:t>
      </w:r>
      <w:r>
        <w:rPr>
          <w:rFonts w:eastAsia="仿宋_GB2312" w:hint="eastAsia"/>
          <w:kern w:val="0"/>
          <w:sz w:val="32"/>
          <w:szCs w:val="32"/>
        </w:rPr>
        <w:t>0</w:t>
      </w:r>
      <w:r>
        <w:rPr>
          <w:rFonts w:eastAsia="仿宋_GB2312" w:hint="eastAsia"/>
          <w:kern w:val="0"/>
          <w:sz w:val="32"/>
          <w:szCs w:val="32"/>
        </w:rPr>
        <w:t>〕</w:t>
      </w:r>
      <w:r>
        <w:rPr>
          <w:rFonts w:eastAsia="仿宋_GB2312"/>
          <w:kern w:val="0"/>
          <w:sz w:val="32"/>
          <w:szCs w:val="32"/>
        </w:rPr>
        <w:t>36</w:t>
      </w:r>
      <w:r>
        <w:rPr>
          <w:rFonts w:ascii="仿宋_GB2312" w:eastAsia="仿宋_GB2312" w:hAnsi="宋体" w:cs="仿宋_GB2312" w:hint="eastAsia"/>
          <w:kern w:val="0"/>
          <w:sz w:val="32"/>
          <w:szCs w:val="32"/>
        </w:rPr>
        <w:t>号），提升全民健身公共服务水平。全面落实城市居住区规划设计标准，大力加强社区体育设施建设。创新发展全民健身赛事活动，办好市民运动会和社区运动会。加大政府向体育社会组织购买全民健身公共服务力度，吸引社会力量深度参与全民健身，促进体育健身消费总量大幅增加。推广普及群众性冰雪活动，广泛开展冰雪进校园等冰雪“七进”活动，营造天津特色冰雪活动氛围。</w:t>
      </w:r>
      <w:bookmarkStart w:id="50" w:name="_Toc65837412"/>
      <w:bookmarkEnd w:id="31"/>
    </w:p>
    <w:p w:rsidR="002C2F4D" w:rsidRDefault="002C2F4D">
      <w:pPr>
        <w:widowControl/>
        <w:adjustRightInd w:val="0"/>
        <w:jc w:val="left"/>
        <w:rPr>
          <w:rFonts w:ascii="黑体" w:eastAsia="黑体"/>
          <w:bCs/>
          <w:kern w:val="0"/>
          <w:sz w:val="32"/>
          <w:szCs w:val="32"/>
        </w:rPr>
      </w:pPr>
    </w:p>
    <w:p w:rsidR="002C2F4D" w:rsidRDefault="00061D81">
      <w:pPr>
        <w:adjustRightInd w:val="0"/>
        <w:jc w:val="center"/>
        <w:rPr>
          <w:rFonts w:ascii="方正小标宋_GBK" w:eastAsia="方正小标宋_GBK" w:hAnsi="方正小标宋_GBK" w:cs="方正小标宋_GBK"/>
          <w:bCs/>
          <w:kern w:val="0"/>
          <w:sz w:val="32"/>
          <w:szCs w:val="32"/>
        </w:rPr>
      </w:pPr>
      <w:r>
        <w:rPr>
          <w:rFonts w:ascii="方正小标宋_GBK" w:eastAsia="方正小标宋_GBK" w:hAnsi="方正小标宋_GBK" w:cs="方正小标宋_GBK" w:hint="eastAsia"/>
          <w:bCs/>
          <w:kern w:val="0"/>
          <w:sz w:val="32"/>
          <w:szCs w:val="32"/>
        </w:rPr>
        <w:t>第九章</w:t>
      </w:r>
      <w:r>
        <w:rPr>
          <w:rFonts w:ascii="方正小标宋_GBK" w:eastAsia="方正小标宋_GBK" w:hAnsi="方正小标宋_GBK" w:cs="方正小标宋_GBK" w:hint="eastAsia"/>
          <w:bCs/>
          <w:kern w:val="0"/>
          <w:sz w:val="32"/>
          <w:szCs w:val="32"/>
        </w:rPr>
        <w:t xml:space="preserve">  </w:t>
      </w:r>
      <w:r>
        <w:rPr>
          <w:rFonts w:ascii="方正小标宋_GBK" w:eastAsia="方正小标宋_GBK" w:hAnsi="方正小标宋_GBK" w:cs="方正小标宋_GBK" w:hint="eastAsia"/>
          <w:bCs/>
          <w:kern w:val="0"/>
          <w:sz w:val="32"/>
          <w:szCs w:val="32"/>
        </w:rPr>
        <w:t>残疾人基本公共服务</w:t>
      </w:r>
      <w:bookmarkEnd w:id="50"/>
    </w:p>
    <w:p w:rsidR="002C2F4D" w:rsidRDefault="002C2F4D">
      <w:pPr>
        <w:adjustRightInd w:val="0"/>
        <w:jc w:val="center"/>
        <w:outlineLvl w:val="0"/>
        <w:rPr>
          <w:rFonts w:ascii="黑体" w:eastAsia="黑体"/>
          <w:bCs/>
          <w:kern w:val="0"/>
          <w:sz w:val="32"/>
          <w:szCs w:val="32"/>
        </w:rPr>
      </w:pPr>
    </w:p>
    <w:p w:rsidR="002C2F4D" w:rsidRDefault="00061D81">
      <w:pPr>
        <w:pStyle w:val="3"/>
        <w:keepNext w:val="0"/>
        <w:keepLines w:val="0"/>
        <w:adjustRightInd w:val="0"/>
        <w:spacing w:before="0" w:after="0" w:line="240" w:lineRule="auto"/>
        <w:jc w:val="center"/>
        <w:rPr>
          <w:rFonts w:ascii="黑体" w:eastAsia="黑体" w:hAnsi="黑体" w:cs="黑体"/>
          <w:b w:val="0"/>
          <w:bCs w:val="0"/>
        </w:rPr>
      </w:pPr>
      <w:bookmarkStart w:id="51" w:name="_Toc65837413"/>
      <w:r>
        <w:rPr>
          <w:rFonts w:ascii="黑体" w:eastAsia="黑体" w:hAnsi="黑体" w:cs="黑体" w:hint="eastAsia"/>
          <w:b w:val="0"/>
          <w:bCs w:val="0"/>
        </w:rPr>
        <w:t>第一节</w:t>
      </w:r>
      <w:r>
        <w:rPr>
          <w:rFonts w:ascii="黑体" w:eastAsia="黑体" w:hAnsi="黑体" w:cs="黑体" w:hint="eastAsia"/>
          <w:b w:val="0"/>
          <w:bCs w:val="0"/>
        </w:rPr>
        <w:t xml:space="preserve">  </w:t>
      </w:r>
      <w:r>
        <w:rPr>
          <w:rFonts w:ascii="黑体" w:eastAsia="黑体" w:hAnsi="黑体" w:cs="黑体" w:hint="eastAsia"/>
          <w:b w:val="0"/>
          <w:bCs w:val="0"/>
        </w:rPr>
        <w:t>重点任务</w:t>
      </w:r>
      <w:bookmarkEnd w:id="51"/>
    </w:p>
    <w:p w:rsidR="002C2F4D" w:rsidRDefault="002C2F4D">
      <w:pPr>
        <w:adjustRightInd w:val="0"/>
        <w:rPr>
          <w:sz w:val="32"/>
          <w:szCs w:val="32"/>
        </w:rPr>
      </w:pPr>
    </w:p>
    <w:p w:rsidR="002C2F4D" w:rsidRDefault="00061D81" w:rsidP="00FA6DB5">
      <w:pPr>
        <w:adjustRightInd w:val="0"/>
        <w:ind w:firstLineChars="200" w:firstLine="622"/>
        <w:rPr>
          <w:rFonts w:eastAsia="仿宋_GB2312"/>
          <w:kern w:val="0"/>
          <w:sz w:val="32"/>
          <w:szCs w:val="32"/>
        </w:rPr>
      </w:pPr>
      <w:r>
        <w:rPr>
          <w:rFonts w:ascii="楷体_GB2312" w:eastAsia="楷体_GB2312" w:hAnsi="楷体_GB2312" w:cs="楷体_GB2312" w:hint="eastAsia"/>
          <w:kern w:val="0"/>
          <w:sz w:val="32"/>
          <w:szCs w:val="32"/>
        </w:rPr>
        <w:t>落实基本生活保障。</w:t>
      </w:r>
      <w:r>
        <w:rPr>
          <w:rFonts w:eastAsia="仿宋_GB2312" w:hint="eastAsia"/>
          <w:kern w:val="0"/>
          <w:sz w:val="32"/>
          <w:szCs w:val="32"/>
        </w:rPr>
        <w:t>完善残疾人医疗、养老、基本生活等社会保障制度，进一步改善残疾人生活状况，缩小残疾人收入水平与社会平均水平的差距。继续落实困难残疾人生活补贴制度和重度残疾人护理补贴制度。符合最低生活保障条件的无业重度残疾</w:t>
      </w:r>
      <w:r>
        <w:rPr>
          <w:rFonts w:eastAsia="仿宋_GB2312" w:hint="eastAsia"/>
          <w:spacing w:val="-2"/>
          <w:kern w:val="0"/>
          <w:sz w:val="32"/>
          <w:szCs w:val="32"/>
        </w:rPr>
        <w:t>人实现应保尽保。进一步完善残疾人急难救助长效机制。将住房危陋的农村困难残疾人家庭纳入农村困难群众危房改造任务对象。</w:t>
      </w:r>
    </w:p>
    <w:p w:rsidR="002C2F4D" w:rsidRDefault="00061D81" w:rsidP="00FA6DB5">
      <w:pPr>
        <w:adjustRightInd w:val="0"/>
        <w:ind w:firstLineChars="200" w:firstLine="622"/>
        <w:rPr>
          <w:rFonts w:eastAsia="仿宋_GB2312"/>
          <w:kern w:val="0"/>
          <w:sz w:val="32"/>
          <w:szCs w:val="32"/>
        </w:rPr>
      </w:pPr>
      <w:r>
        <w:rPr>
          <w:rFonts w:ascii="楷体_GB2312" w:eastAsia="楷体_GB2312" w:hAnsi="楷体_GB2312" w:cs="楷体_GB2312" w:hint="eastAsia"/>
          <w:kern w:val="0"/>
          <w:sz w:val="32"/>
          <w:szCs w:val="32"/>
        </w:rPr>
        <w:t>完善基本服务体系。</w:t>
      </w:r>
      <w:r>
        <w:rPr>
          <w:rFonts w:eastAsia="仿宋_GB2312" w:hint="eastAsia"/>
          <w:kern w:val="0"/>
          <w:sz w:val="32"/>
          <w:szCs w:val="32"/>
        </w:rPr>
        <w:t>支持日间照料机构和专业托养服务机构提供残疾人托养照料服务。完善以社区康复为基础，以市级和区级康复机构为骨干，残疾人家庭为依托的残疾人康复服务体系。坚持普遍预防和重点防控相结合，</w:t>
      </w:r>
      <w:r>
        <w:rPr>
          <w:rFonts w:eastAsia="仿宋_GB2312" w:hint="eastAsia"/>
          <w:kern w:val="0"/>
          <w:sz w:val="32"/>
          <w:szCs w:val="32"/>
        </w:rPr>
        <w:t>广泛开展残疾预防宣传教育活动，覆盖全人群和全生命周期。</w:t>
      </w:r>
      <w:r>
        <w:rPr>
          <w:rFonts w:ascii="仿宋_GB2312" w:eastAsia="仿宋_GB2312" w:hint="eastAsia"/>
          <w:kern w:val="0"/>
          <w:sz w:val="32"/>
          <w:szCs w:val="32"/>
        </w:rPr>
        <w:t>开展儿童残疾普遍筛查和诊断，做好与残疾儿童康复救助的衔接。</w:t>
      </w:r>
      <w:r>
        <w:rPr>
          <w:rFonts w:eastAsia="仿宋_GB2312" w:hint="eastAsia"/>
          <w:kern w:val="0"/>
          <w:sz w:val="32"/>
          <w:szCs w:val="32"/>
        </w:rPr>
        <w:t>健全残疾儿童少年教育制度，确保适龄残疾儿童少年义务教育入学率达到</w:t>
      </w:r>
      <w:r>
        <w:rPr>
          <w:rFonts w:eastAsia="仿宋_GB2312" w:hint="eastAsia"/>
          <w:kern w:val="0"/>
          <w:sz w:val="32"/>
          <w:szCs w:val="32"/>
        </w:rPr>
        <w:t>97</w:t>
      </w:r>
      <w:r>
        <w:rPr>
          <w:rFonts w:eastAsia="仿宋_GB2312"/>
          <w:kern w:val="0"/>
          <w:sz w:val="32"/>
          <w:szCs w:val="32"/>
        </w:rPr>
        <w:t>%</w:t>
      </w:r>
      <w:r>
        <w:rPr>
          <w:rFonts w:eastAsia="仿宋_GB2312" w:hint="eastAsia"/>
          <w:kern w:val="0"/>
          <w:sz w:val="32"/>
          <w:szCs w:val="32"/>
        </w:rPr>
        <w:t>以上，为家庭经济困难的残疾学生提供包括义务教育、高中阶段教育在内的</w:t>
      </w:r>
      <w:r>
        <w:rPr>
          <w:rFonts w:eastAsia="仿宋_GB2312"/>
          <w:kern w:val="0"/>
          <w:sz w:val="32"/>
          <w:szCs w:val="32"/>
        </w:rPr>
        <w:t>12</w:t>
      </w:r>
      <w:r>
        <w:rPr>
          <w:rFonts w:eastAsia="仿宋_GB2312" w:hint="eastAsia"/>
          <w:kern w:val="0"/>
          <w:sz w:val="32"/>
          <w:szCs w:val="32"/>
        </w:rPr>
        <w:t>年免费教育。统筹残疾人高等教育资源的布局，支持高校增设适合残疾人学习的相关专业，发展残疾人继续教育。提升残疾人就业服务水平，促进用人单位安排残疾人就业，鼓励残疾人创业，完善落实促进残疾人就业的补贴奖励政策，扩大公益性岗位安置，发展残疾人辅助性就业。做好残疾人社</w:t>
      </w:r>
      <w:r>
        <w:rPr>
          <w:rFonts w:eastAsia="仿宋_GB2312" w:hint="eastAsia"/>
          <w:kern w:val="0"/>
          <w:sz w:val="32"/>
          <w:szCs w:val="32"/>
        </w:rPr>
        <w:t>区康复和家庭医生签约工作。</w:t>
      </w:r>
      <w:r>
        <w:rPr>
          <w:rFonts w:ascii="仿宋_GB2312" w:eastAsia="仿宋_GB2312" w:hint="eastAsia"/>
          <w:kern w:val="0"/>
          <w:sz w:val="32"/>
          <w:szCs w:val="32"/>
        </w:rPr>
        <w:t>研究制定残疾人辅助器具补贴制度，构建康复辅具服务网络。依托养老机构开展重残人员养护机构共建试点。</w:t>
      </w:r>
    </w:p>
    <w:p w:rsidR="002C2F4D" w:rsidRDefault="00061D81" w:rsidP="00FA6DB5">
      <w:pPr>
        <w:adjustRightInd w:val="0"/>
        <w:ind w:firstLineChars="200" w:firstLine="622"/>
        <w:rPr>
          <w:rFonts w:eastAsia="仿宋_GB2312"/>
          <w:kern w:val="0"/>
          <w:sz w:val="32"/>
          <w:szCs w:val="32"/>
        </w:rPr>
      </w:pPr>
      <w:r>
        <w:rPr>
          <w:rFonts w:ascii="楷体_GB2312" w:eastAsia="楷体_GB2312" w:hAnsi="楷体_GB2312" w:cs="楷体_GB2312" w:hint="eastAsia"/>
          <w:kern w:val="0"/>
          <w:sz w:val="32"/>
          <w:szCs w:val="32"/>
        </w:rPr>
        <w:t>提升专业服务水平。推进</w:t>
      </w:r>
      <w:r>
        <w:rPr>
          <w:rFonts w:eastAsia="仿宋_GB2312" w:hint="eastAsia"/>
          <w:kern w:val="0"/>
          <w:sz w:val="32"/>
          <w:szCs w:val="32"/>
        </w:rPr>
        <w:t>残疾人事业法规体系建设，在涉及残疾人的立法中纳入保障残疾人权益的内容，尊重和保障残疾人各项权益。将无障碍环境建设发展规划纳入国民经济和社会发展计划以及城乡规划，全面推进无障碍环境建设法律法规政策和标准的落实。</w:t>
      </w:r>
      <w:r>
        <w:rPr>
          <w:rFonts w:ascii="仿宋_GB2312" w:eastAsia="仿宋_GB2312" w:hint="eastAsia"/>
          <w:sz w:val="32"/>
          <w:szCs w:val="32"/>
        </w:rPr>
        <w:t>加快推进公共服务场所的无障碍环境建设与改造，依法加强日常维护和监督管理。</w:t>
      </w:r>
      <w:r>
        <w:rPr>
          <w:rFonts w:eastAsia="仿宋_GB2312" w:hint="eastAsia"/>
          <w:kern w:val="0"/>
          <w:sz w:val="32"/>
          <w:szCs w:val="32"/>
        </w:rPr>
        <w:t>实施残疾人文化服务建设工程，推进社区残疾人健身体育和居家重度残疾人康复体育服务。</w:t>
      </w:r>
    </w:p>
    <w:p w:rsidR="002C2F4D" w:rsidRDefault="002C2F4D" w:rsidP="00FA6DB5">
      <w:pPr>
        <w:adjustRightInd w:val="0"/>
        <w:ind w:firstLineChars="200" w:firstLine="622"/>
        <w:rPr>
          <w:rFonts w:eastAsia="仿宋_GB2312"/>
          <w:kern w:val="0"/>
          <w:sz w:val="32"/>
          <w:szCs w:val="32"/>
        </w:rPr>
      </w:pPr>
    </w:p>
    <w:p w:rsidR="002C2F4D" w:rsidRDefault="00061D81">
      <w:pPr>
        <w:pStyle w:val="3"/>
        <w:keepNext w:val="0"/>
        <w:keepLines w:val="0"/>
        <w:adjustRightInd w:val="0"/>
        <w:spacing w:before="0" w:after="0" w:line="240" w:lineRule="auto"/>
        <w:jc w:val="center"/>
        <w:rPr>
          <w:rFonts w:ascii="黑体" w:eastAsia="黑体" w:hAnsi="黑体" w:cs="黑体"/>
          <w:b w:val="0"/>
          <w:bCs w:val="0"/>
        </w:rPr>
      </w:pPr>
      <w:bookmarkStart w:id="52" w:name="_Toc65837414"/>
      <w:r>
        <w:rPr>
          <w:rFonts w:ascii="黑体" w:eastAsia="黑体" w:hAnsi="黑体" w:cs="黑体" w:hint="eastAsia"/>
          <w:b w:val="0"/>
          <w:bCs w:val="0"/>
        </w:rPr>
        <w:t>第</w:t>
      </w:r>
      <w:r>
        <w:rPr>
          <w:rFonts w:ascii="黑体" w:eastAsia="黑体" w:hAnsi="黑体" w:cs="黑体" w:hint="eastAsia"/>
          <w:b w:val="0"/>
          <w:bCs w:val="0"/>
        </w:rPr>
        <w:t>二节</w:t>
      </w:r>
      <w:r>
        <w:rPr>
          <w:rFonts w:ascii="黑体" w:eastAsia="黑体" w:hAnsi="黑体" w:cs="黑体" w:hint="eastAsia"/>
          <w:b w:val="0"/>
          <w:bCs w:val="0"/>
        </w:rPr>
        <w:t xml:space="preserve"> </w:t>
      </w:r>
      <w:r>
        <w:rPr>
          <w:rFonts w:ascii="黑体" w:eastAsia="黑体" w:hAnsi="黑体" w:cs="黑体"/>
          <w:b w:val="0"/>
          <w:bCs w:val="0"/>
        </w:rPr>
        <w:t xml:space="preserve"> </w:t>
      </w:r>
      <w:r>
        <w:rPr>
          <w:rFonts w:ascii="黑体" w:eastAsia="黑体" w:hAnsi="黑体" w:cs="黑体" w:hint="eastAsia"/>
          <w:b w:val="0"/>
          <w:bCs w:val="0"/>
        </w:rPr>
        <w:t>基本标准</w:t>
      </w:r>
      <w:bookmarkEnd w:id="52"/>
    </w:p>
    <w:p w:rsidR="002C2F4D" w:rsidRDefault="002C2F4D"/>
    <w:p w:rsidR="002C2F4D" w:rsidRDefault="00061D81" w:rsidP="00FA6DB5">
      <w:pPr>
        <w:adjustRightInd w:val="0"/>
        <w:ind w:firstLineChars="200" w:firstLine="622"/>
        <w:rPr>
          <w:rFonts w:eastAsia="仿宋_GB2312"/>
          <w:kern w:val="0"/>
          <w:sz w:val="32"/>
          <w:szCs w:val="32"/>
        </w:rPr>
      </w:pPr>
      <w:r>
        <w:rPr>
          <w:rFonts w:eastAsia="仿宋_GB2312" w:hint="eastAsia"/>
          <w:kern w:val="0"/>
          <w:sz w:val="32"/>
          <w:szCs w:val="32"/>
        </w:rPr>
        <w:t>以残疾人基本公共服务国家基本标准为基础，结合本市实际，制定</w:t>
      </w:r>
      <w:r>
        <w:rPr>
          <w:rFonts w:ascii="仿宋_GB2312" w:eastAsia="仿宋_GB2312" w:hAnsi="宋体" w:cs="宋体" w:hint="eastAsia"/>
          <w:kern w:val="0"/>
          <w:sz w:val="32"/>
          <w:szCs w:val="32"/>
        </w:rPr>
        <w:t>“十四五”时期</w:t>
      </w:r>
      <w:r>
        <w:rPr>
          <w:rFonts w:eastAsia="仿宋_GB2312" w:hint="eastAsia"/>
          <w:kern w:val="0"/>
          <w:sz w:val="32"/>
          <w:szCs w:val="32"/>
        </w:rPr>
        <w:t>天津市残疾人基本公共服务基本标准。</w:t>
      </w:r>
    </w:p>
    <w:p w:rsidR="002C2F4D" w:rsidRDefault="00061D81" w:rsidP="00FA6DB5">
      <w:pPr>
        <w:adjustRightInd w:val="0"/>
        <w:spacing w:beforeLines="50" w:before="144"/>
        <w:jc w:val="center"/>
        <w:rPr>
          <w:rFonts w:ascii="黑体" w:eastAsia="黑体" w:hAnsi="黑体" w:cs="黑体"/>
          <w:kern w:val="0"/>
          <w:sz w:val="32"/>
          <w:szCs w:val="32"/>
        </w:rPr>
      </w:pPr>
      <w:r>
        <w:rPr>
          <w:rFonts w:ascii="黑体" w:eastAsia="黑体" w:hAnsi="黑体" w:cs="黑体" w:hint="eastAsia"/>
          <w:sz w:val="32"/>
          <w:szCs w:val="32"/>
        </w:rPr>
        <w:t>“十四五”时期天津市</w:t>
      </w:r>
      <w:r>
        <w:rPr>
          <w:rFonts w:ascii="黑体" w:eastAsia="黑体" w:hAnsi="黑体" w:cs="黑体" w:hint="eastAsia"/>
          <w:kern w:val="0"/>
          <w:sz w:val="32"/>
          <w:szCs w:val="32"/>
        </w:rPr>
        <w:t>残疾人基本公共服务基本标准</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3"/>
        <w:gridCol w:w="2331"/>
        <w:gridCol w:w="2778"/>
        <w:gridCol w:w="1812"/>
        <w:gridCol w:w="1638"/>
      </w:tblGrid>
      <w:tr w:rsidR="002C2F4D">
        <w:trPr>
          <w:cantSplit/>
          <w:trHeight w:val="556"/>
          <w:tblHeader/>
          <w:jc w:val="center"/>
        </w:trPr>
        <w:tc>
          <w:tcPr>
            <w:tcW w:w="1433" w:type="dxa"/>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服务项目</w:t>
            </w:r>
          </w:p>
        </w:tc>
        <w:tc>
          <w:tcPr>
            <w:tcW w:w="2331" w:type="dxa"/>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服务对象</w:t>
            </w:r>
          </w:p>
        </w:tc>
        <w:tc>
          <w:tcPr>
            <w:tcW w:w="2778" w:type="dxa"/>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kern w:val="0"/>
                <w:sz w:val="24"/>
              </w:rPr>
              <w:t>保障标准</w:t>
            </w:r>
          </w:p>
        </w:tc>
        <w:tc>
          <w:tcPr>
            <w:tcW w:w="1812" w:type="dxa"/>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kern w:val="0"/>
                <w:sz w:val="24"/>
              </w:rPr>
              <w:t>支出责任</w:t>
            </w:r>
          </w:p>
        </w:tc>
        <w:tc>
          <w:tcPr>
            <w:tcW w:w="1638" w:type="dxa"/>
            <w:vAlign w:val="center"/>
          </w:tcPr>
          <w:p w:rsidR="002C2F4D" w:rsidRDefault="00061D81">
            <w:pPr>
              <w:adjustRightInd w:val="0"/>
              <w:snapToGrid w:val="0"/>
              <w:jc w:val="center"/>
              <w:rPr>
                <w:rFonts w:ascii="黑体" w:eastAsia="黑体" w:hAnsi="黑体" w:cs="黑体"/>
                <w:kern w:val="0"/>
                <w:sz w:val="24"/>
              </w:rPr>
            </w:pPr>
            <w:r>
              <w:rPr>
                <w:rFonts w:ascii="黑体" w:eastAsia="黑体" w:hAnsi="黑体" w:cs="黑体" w:hint="eastAsia"/>
                <w:kern w:val="0"/>
                <w:sz w:val="24"/>
              </w:rPr>
              <w:t>覆盖水平</w:t>
            </w:r>
          </w:p>
        </w:tc>
      </w:tr>
      <w:tr w:rsidR="002C2F4D">
        <w:trPr>
          <w:cantSplit/>
          <w:trHeight w:val="581"/>
          <w:jc w:val="center"/>
        </w:trPr>
        <w:tc>
          <w:tcPr>
            <w:tcW w:w="9992" w:type="dxa"/>
            <w:gridSpan w:val="5"/>
            <w:vAlign w:val="center"/>
          </w:tcPr>
          <w:p w:rsidR="002C2F4D" w:rsidRDefault="00061D81">
            <w:pPr>
              <w:adjustRightInd w:val="0"/>
              <w:snapToGrid w:val="0"/>
              <w:rPr>
                <w:rFonts w:ascii="楷体_GB2312" w:eastAsia="楷体_GB2312" w:hAnsi="楷体_GB2312" w:cs="楷体_GB2312"/>
                <w:kern w:val="0"/>
                <w:sz w:val="24"/>
              </w:rPr>
            </w:pPr>
            <w:r>
              <w:rPr>
                <w:rFonts w:ascii="楷体_GB2312" w:eastAsia="楷体_GB2312" w:hAnsi="楷体_GB2312" w:cs="楷体_GB2312" w:hint="eastAsia"/>
                <w:kern w:val="0"/>
                <w:sz w:val="24"/>
              </w:rPr>
              <w:t>残疾人社会保障</w:t>
            </w:r>
          </w:p>
        </w:tc>
      </w:tr>
      <w:tr w:rsidR="002C2F4D">
        <w:trPr>
          <w:cantSplit/>
          <w:trHeight w:val="1098"/>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残疾人基本医疗保险缴费补贴</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具有本市户籍，享受低保或低收入救助的残疾人和重度残疾人</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免费参保城乡居民基本医疗保险。</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市、区财政负担。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目标人群覆盖率</w:t>
            </w:r>
            <w:r>
              <w:rPr>
                <w:rFonts w:eastAsia="仿宋_GB2312"/>
                <w:kern w:val="0"/>
                <w:sz w:val="24"/>
              </w:rPr>
              <w:t>100%</w:t>
            </w:r>
          </w:p>
        </w:tc>
      </w:tr>
      <w:tr w:rsidR="002C2F4D">
        <w:trPr>
          <w:cantSplit/>
          <w:trHeight w:val="1448"/>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残疾人基本养老保险缴费补贴</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低保残疾人和重度残疾人</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参加城乡居民基本养老保险按照不低于二档的标准给予</w:t>
            </w:r>
            <w:r>
              <w:rPr>
                <w:rFonts w:eastAsia="仿宋_GB2312"/>
                <w:kern w:val="0"/>
                <w:sz w:val="24"/>
              </w:rPr>
              <w:t>50%</w:t>
            </w:r>
            <w:r>
              <w:rPr>
                <w:rFonts w:eastAsia="仿宋_GB2312" w:hint="eastAsia"/>
                <w:kern w:val="0"/>
                <w:sz w:val="24"/>
              </w:rPr>
              <w:t>或全额补贴。</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区财政负担。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符合条件自愿申请缴费补贴的残疾人群覆盖率</w:t>
            </w:r>
            <w:r>
              <w:rPr>
                <w:rFonts w:eastAsia="仿宋_GB2312"/>
                <w:kern w:val="0"/>
                <w:sz w:val="24"/>
              </w:rPr>
              <w:t>100%</w:t>
            </w:r>
          </w:p>
        </w:tc>
      </w:tr>
      <w:tr w:rsidR="002C2F4D">
        <w:trPr>
          <w:cantSplit/>
          <w:trHeight w:val="1135"/>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残疾人基本医疗保障医疗康复项目</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参加城乡居民基本医疗保险的残疾人患者</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按照有关规定执行。</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市社会保险基金负担。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目标人群覆盖率</w:t>
            </w:r>
            <w:r>
              <w:rPr>
                <w:rFonts w:eastAsia="仿宋_GB2312"/>
                <w:kern w:val="0"/>
                <w:sz w:val="24"/>
              </w:rPr>
              <w:t>100%</w:t>
            </w:r>
          </w:p>
        </w:tc>
      </w:tr>
      <w:tr w:rsidR="002C2F4D">
        <w:trPr>
          <w:cantSplit/>
          <w:trHeight w:val="3988"/>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困难残疾人生活补贴和重度残疾人护理补贴</w:t>
            </w:r>
          </w:p>
        </w:tc>
        <w:tc>
          <w:tcPr>
            <w:tcW w:w="2331" w:type="dxa"/>
            <w:vAlign w:val="center"/>
          </w:tcPr>
          <w:p w:rsidR="002C2F4D" w:rsidRDefault="00061D81">
            <w:pPr>
              <w:adjustRightInd w:val="0"/>
              <w:snapToGrid w:val="0"/>
              <w:rPr>
                <w:rFonts w:eastAsia="仿宋_GB2312"/>
                <w:kern w:val="0"/>
                <w:sz w:val="24"/>
              </w:rPr>
            </w:pPr>
            <w:r>
              <w:rPr>
                <w:rFonts w:eastAsia="仿宋_GB2312" w:hint="eastAsia"/>
                <w:spacing w:val="-4"/>
                <w:kern w:val="0"/>
                <w:sz w:val="24"/>
              </w:rPr>
              <w:t>困难残疾人生活补贴的服务对象为低保、低收入家庭中的视力残疾、听力残疾、言语残疾、肢体残疾、精神残疾、智力残疾和多重残疾人；重度残疾人护理补贴的服务对象为具有本市户籍，残疾等级被评定为一、二级的重度残疾人</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重度困难残疾人生活补贴标准为每人每月</w:t>
            </w:r>
            <w:r>
              <w:rPr>
                <w:rFonts w:eastAsia="仿宋_GB2312"/>
                <w:kern w:val="0"/>
                <w:sz w:val="24"/>
              </w:rPr>
              <w:t>300</w:t>
            </w:r>
            <w:r>
              <w:rPr>
                <w:rFonts w:eastAsia="仿宋_GB2312" w:hint="eastAsia"/>
                <w:kern w:val="0"/>
                <w:sz w:val="24"/>
              </w:rPr>
              <w:t>元；非重度困难残疾人生活补贴标准为每人每月</w:t>
            </w:r>
            <w:r>
              <w:rPr>
                <w:rFonts w:eastAsia="仿宋_GB2312"/>
                <w:kern w:val="0"/>
                <w:sz w:val="24"/>
              </w:rPr>
              <w:t>160</w:t>
            </w:r>
            <w:r>
              <w:rPr>
                <w:rFonts w:eastAsia="仿宋_GB2312" w:hint="eastAsia"/>
                <w:kern w:val="0"/>
                <w:sz w:val="24"/>
              </w:rPr>
              <w:t>元；重度残疾人护理补贴</w:t>
            </w:r>
            <w:r>
              <w:rPr>
                <w:rFonts w:eastAsia="仿宋_GB2312"/>
                <w:kern w:val="0"/>
                <w:sz w:val="24"/>
              </w:rPr>
              <w:t>标准为</w:t>
            </w:r>
            <w:r>
              <w:rPr>
                <w:rFonts w:eastAsia="仿宋_GB2312" w:hint="eastAsia"/>
                <w:kern w:val="0"/>
                <w:sz w:val="24"/>
              </w:rPr>
              <w:t>每人每月</w:t>
            </w:r>
            <w:r>
              <w:rPr>
                <w:rFonts w:eastAsia="仿宋_GB2312"/>
                <w:kern w:val="0"/>
                <w:sz w:val="24"/>
              </w:rPr>
              <w:t>200</w:t>
            </w:r>
            <w:r>
              <w:rPr>
                <w:rFonts w:eastAsia="仿宋_GB2312" w:hint="eastAsia"/>
                <w:kern w:val="0"/>
                <w:sz w:val="24"/>
              </w:rPr>
              <w:t>元。</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市、区财政负担。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在自愿申请的基础上，对审核合格的申请人员应补尽补</w:t>
            </w:r>
          </w:p>
        </w:tc>
      </w:tr>
      <w:tr w:rsidR="002C2F4D">
        <w:trPr>
          <w:cantSplit/>
          <w:trHeight w:val="1208"/>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无业重度残疾人最低生活保障</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生活困难、靠家庭供养且无法单独立户的成年无业重度残疾人</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符合条件的对象，经个人申请，可按照单人户纳入最低生活保障范围。</w:t>
            </w:r>
          </w:p>
        </w:tc>
        <w:tc>
          <w:tcPr>
            <w:tcW w:w="1812" w:type="dxa"/>
            <w:vAlign w:val="center"/>
          </w:tcPr>
          <w:p w:rsidR="002C2F4D" w:rsidRDefault="00061D81">
            <w:pPr>
              <w:adjustRightInd w:val="0"/>
              <w:snapToGrid w:val="0"/>
              <w:rPr>
                <w:rFonts w:eastAsia="仿宋_GB2312"/>
                <w:kern w:val="0"/>
                <w:sz w:val="24"/>
              </w:rPr>
            </w:pPr>
            <w:r>
              <w:rPr>
                <w:rFonts w:eastAsia="仿宋_GB2312" w:hint="eastAsia"/>
                <w:sz w:val="24"/>
              </w:rPr>
              <w:t>各级财政负担。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自愿申请且符合条件的</w:t>
            </w:r>
            <w:r>
              <w:rPr>
                <w:rFonts w:eastAsia="仿宋_GB2312"/>
                <w:kern w:val="0"/>
                <w:sz w:val="24"/>
              </w:rPr>
              <w:t>100%</w:t>
            </w:r>
            <w:r>
              <w:rPr>
                <w:rFonts w:eastAsia="仿宋_GB2312" w:hint="eastAsia"/>
                <w:kern w:val="0"/>
                <w:sz w:val="24"/>
              </w:rPr>
              <w:t>覆盖</w:t>
            </w:r>
          </w:p>
        </w:tc>
      </w:tr>
      <w:tr w:rsidR="002C2F4D">
        <w:trPr>
          <w:cantSplit/>
          <w:trHeight w:val="569"/>
          <w:jc w:val="center"/>
        </w:trPr>
        <w:tc>
          <w:tcPr>
            <w:tcW w:w="9992" w:type="dxa"/>
            <w:gridSpan w:val="5"/>
            <w:vAlign w:val="center"/>
          </w:tcPr>
          <w:p w:rsidR="002C2F4D" w:rsidRDefault="00061D81">
            <w:pPr>
              <w:adjustRightInd w:val="0"/>
              <w:snapToGrid w:val="0"/>
              <w:rPr>
                <w:rFonts w:ascii="楷体_GB2312" w:eastAsia="楷体_GB2312" w:hAnsi="楷体_GB2312" w:cs="楷体_GB2312"/>
                <w:kern w:val="0"/>
                <w:sz w:val="24"/>
              </w:rPr>
            </w:pPr>
            <w:r>
              <w:rPr>
                <w:rFonts w:ascii="楷体_GB2312" w:eastAsia="楷体_GB2312" w:hAnsi="楷体_GB2312" w:cs="楷体_GB2312" w:hint="eastAsia"/>
                <w:kern w:val="0"/>
                <w:sz w:val="24"/>
              </w:rPr>
              <w:t>残疾人基本服务</w:t>
            </w:r>
          </w:p>
        </w:tc>
      </w:tr>
      <w:tr w:rsidR="002C2F4D">
        <w:trPr>
          <w:cantSplit/>
          <w:trHeight w:val="2356"/>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残疾儿童及青少年教育</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残疾学生和低保、低收入残疾人在学健全子女</w:t>
            </w:r>
          </w:p>
        </w:tc>
        <w:tc>
          <w:tcPr>
            <w:tcW w:w="2778" w:type="dxa"/>
            <w:vAlign w:val="center"/>
          </w:tcPr>
          <w:p w:rsidR="002C2F4D" w:rsidRDefault="00061D81">
            <w:pPr>
              <w:adjustRightInd w:val="0"/>
              <w:snapToGrid w:val="0"/>
              <w:rPr>
                <w:rFonts w:eastAsia="仿宋_GB2312"/>
                <w:kern w:val="0"/>
                <w:sz w:val="24"/>
              </w:rPr>
            </w:pPr>
            <w:r>
              <w:rPr>
                <w:rFonts w:eastAsia="仿宋_GB2312"/>
                <w:kern w:val="0"/>
                <w:sz w:val="24"/>
              </w:rPr>
              <w:t>从学前教育至研究</w:t>
            </w:r>
            <w:r>
              <w:rPr>
                <w:rFonts w:eastAsia="仿宋_GB2312"/>
                <w:kern w:val="0"/>
                <w:sz w:val="24"/>
              </w:rPr>
              <w:t>生</w:t>
            </w:r>
            <w:r>
              <w:rPr>
                <w:rFonts w:eastAsia="仿宋_GB2312" w:hint="eastAsia"/>
                <w:kern w:val="0"/>
                <w:sz w:val="24"/>
              </w:rPr>
              <w:t>，</w:t>
            </w:r>
            <w:r>
              <w:rPr>
                <w:rFonts w:eastAsia="仿宋_GB2312" w:hint="eastAsia"/>
                <w:kern w:val="0"/>
                <w:sz w:val="24"/>
              </w:rPr>
              <w:t>每</w:t>
            </w:r>
            <w:r>
              <w:rPr>
                <w:rFonts w:eastAsia="仿宋_GB2312" w:hint="eastAsia"/>
                <w:kern w:val="0"/>
                <w:sz w:val="24"/>
              </w:rPr>
              <w:t>人每年补贴</w:t>
            </w:r>
            <w:r>
              <w:rPr>
                <w:rFonts w:eastAsia="仿宋_GB2312"/>
                <w:kern w:val="0"/>
                <w:sz w:val="24"/>
              </w:rPr>
              <w:t>430</w:t>
            </w:r>
            <w:r>
              <w:rPr>
                <w:rFonts w:eastAsia="仿宋_GB2312" w:hint="eastAsia"/>
                <w:kern w:val="0"/>
                <w:sz w:val="24"/>
              </w:rPr>
              <w:t>至</w:t>
            </w:r>
            <w:r>
              <w:rPr>
                <w:rFonts w:eastAsia="仿宋_GB2312"/>
                <w:kern w:val="0"/>
                <w:sz w:val="24"/>
              </w:rPr>
              <w:t>6870</w:t>
            </w:r>
            <w:r>
              <w:rPr>
                <w:rFonts w:eastAsia="仿宋_GB2312" w:hint="eastAsia"/>
                <w:kern w:val="0"/>
                <w:sz w:val="24"/>
              </w:rPr>
              <w:t>元不等，并随经济社会发展逐步提高。</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学前教育、义务教育、高中阶段教育扶残助学金由区财政负担；高等教育阶段扶残助学金由市财政负担。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目标人群覆盖率</w:t>
            </w:r>
            <w:r>
              <w:rPr>
                <w:rFonts w:eastAsia="仿宋_GB2312"/>
                <w:kern w:val="0"/>
                <w:sz w:val="24"/>
              </w:rPr>
              <w:t>100%</w:t>
            </w:r>
          </w:p>
        </w:tc>
      </w:tr>
      <w:tr w:rsidR="002C2F4D">
        <w:trPr>
          <w:cantSplit/>
          <w:trHeight w:val="454"/>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残疾儿童康复救助</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符合本市残疾儿童康复救助制度规定救助条件的各类残疾儿童</w:t>
            </w:r>
          </w:p>
        </w:tc>
        <w:tc>
          <w:tcPr>
            <w:tcW w:w="2778" w:type="dxa"/>
            <w:vAlign w:val="center"/>
          </w:tcPr>
          <w:p w:rsidR="002C2F4D" w:rsidRDefault="00061D81">
            <w:pPr>
              <w:adjustRightInd w:val="0"/>
              <w:snapToGrid w:val="0"/>
              <w:rPr>
                <w:rFonts w:eastAsia="仿宋_GB2312"/>
                <w:kern w:val="0"/>
                <w:sz w:val="24"/>
              </w:rPr>
            </w:pPr>
            <w:r>
              <w:rPr>
                <w:rFonts w:eastAsia="仿宋_GB2312" w:hint="eastAsia"/>
                <w:sz w:val="24"/>
              </w:rPr>
              <w:t>按照残疾儿童康复救助制度规定执行。</w:t>
            </w:r>
          </w:p>
        </w:tc>
        <w:tc>
          <w:tcPr>
            <w:tcW w:w="1812" w:type="dxa"/>
            <w:vAlign w:val="center"/>
          </w:tcPr>
          <w:p w:rsidR="002C2F4D" w:rsidRDefault="00061D81">
            <w:pPr>
              <w:adjustRightInd w:val="0"/>
              <w:snapToGrid w:val="0"/>
              <w:rPr>
                <w:rFonts w:eastAsia="仿宋_GB2312"/>
                <w:kern w:val="0"/>
                <w:sz w:val="24"/>
              </w:rPr>
            </w:pPr>
            <w:r>
              <w:rPr>
                <w:rFonts w:eastAsia="仿宋_GB2312" w:hint="eastAsia"/>
                <w:sz w:val="24"/>
              </w:rPr>
              <w:t>市、区财政负担。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sz w:val="24"/>
              </w:rPr>
              <w:t>对符合条件、有康复需求的残疾儿童应保尽保</w:t>
            </w:r>
          </w:p>
        </w:tc>
      </w:tr>
      <w:tr w:rsidR="002C2F4D">
        <w:trPr>
          <w:cantSplit/>
          <w:trHeight w:val="1423"/>
          <w:jc w:val="center"/>
        </w:trPr>
        <w:tc>
          <w:tcPr>
            <w:tcW w:w="1433" w:type="dxa"/>
            <w:vMerge w:val="restart"/>
            <w:vAlign w:val="center"/>
          </w:tcPr>
          <w:p w:rsidR="002C2F4D" w:rsidRDefault="00061D81">
            <w:pPr>
              <w:adjustRightInd w:val="0"/>
              <w:snapToGrid w:val="0"/>
              <w:rPr>
                <w:rFonts w:eastAsia="仿宋_GB2312"/>
                <w:kern w:val="0"/>
                <w:sz w:val="24"/>
              </w:rPr>
            </w:pPr>
            <w:r>
              <w:rPr>
                <w:rFonts w:eastAsia="仿宋_GB2312" w:hint="eastAsia"/>
                <w:kern w:val="0"/>
                <w:sz w:val="24"/>
              </w:rPr>
              <w:t>残疾人职业培训和就业服务</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有劳动能力和就业创业意愿的城乡残疾人</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为城乡残疾人提供有针对性的职业技能培训、岗位技能提升培训、创业培训等就业创业服务。</w:t>
            </w:r>
          </w:p>
        </w:tc>
        <w:tc>
          <w:tcPr>
            <w:tcW w:w="1812" w:type="dxa"/>
            <w:vAlign w:val="center"/>
          </w:tcPr>
          <w:p w:rsidR="002C2F4D" w:rsidRDefault="00061D81">
            <w:pPr>
              <w:adjustRightInd w:val="0"/>
              <w:snapToGrid w:val="0"/>
              <w:rPr>
                <w:rFonts w:eastAsia="仿宋_GB2312"/>
                <w:kern w:val="0"/>
                <w:sz w:val="24"/>
              </w:rPr>
            </w:pPr>
            <w:r>
              <w:rPr>
                <w:rFonts w:eastAsia="仿宋_GB2312" w:hint="eastAsia"/>
                <w:sz w:val="24"/>
              </w:rPr>
              <w:t>市、区财政负担。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有需求且符合条件的</w:t>
            </w:r>
            <w:r>
              <w:rPr>
                <w:rFonts w:eastAsia="仿宋_GB2312"/>
                <w:kern w:val="0"/>
                <w:sz w:val="24"/>
              </w:rPr>
              <w:t>100%</w:t>
            </w:r>
            <w:r>
              <w:rPr>
                <w:rFonts w:eastAsia="仿宋_GB2312" w:hint="eastAsia"/>
                <w:kern w:val="0"/>
                <w:sz w:val="24"/>
              </w:rPr>
              <w:t>覆盖</w:t>
            </w:r>
          </w:p>
        </w:tc>
      </w:tr>
      <w:tr w:rsidR="002C2F4D">
        <w:trPr>
          <w:cantSplit/>
          <w:trHeight w:val="454"/>
          <w:jc w:val="center"/>
        </w:trPr>
        <w:tc>
          <w:tcPr>
            <w:tcW w:w="1433" w:type="dxa"/>
            <w:vMerge/>
            <w:vAlign w:val="center"/>
          </w:tcPr>
          <w:p w:rsidR="002C2F4D" w:rsidRDefault="002C2F4D">
            <w:pPr>
              <w:adjustRightInd w:val="0"/>
              <w:snapToGrid w:val="0"/>
              <w:rPr>
                <w:rFonts w:eastAsia="仿宋_GB2312"/>
                <w:kern w:val="0"/>
                <w:sz w:val="24"/>
              </w:rPr>
            </w:pP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超过</w:t>
            </w:r>
            <w:r>
              <w:rPr>
                <w:rFonts w:eastAsia="仿宋_GB2312"/>
                <w:kern w:val="0"/>
                <w:sz w:val="24"/>
              </w:rPr>
              <w:t>1.5%</w:t>
            </w:r>
            <w:r>
              <w:rPr>
                <w:rFonts w:eastAsia="仿宋_GB2312" w:hint="eastAsia"/>
                <w:kern w:val="0"/>
                <w:sz w:val="24"/>
              </w:rPr>
              <w:t>就业比例的用人单位</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每超</w:t>
            </w:r>
            <w:r>
              <w:rPr>
                <w:rFonts w:eastAsia="仿宋_GB2312"/>
                <w:kern w:val="0"/>
                <w:sz w:val="24"/>
              </w:rPr>
              <w:t>1</w:t>
            </w:r>
            <w:r>
              <w:rPr>
                <w:rFonts w:eastAsia="仿宋_GB2312" w:hint="eastAsia"/>
                <w:kern w:val="0"/>
                <w:sz w:val="24"/>
              </w:rPr>
              <w:t>人每年按照</w:t>
            </w:r>
            <w:r>
              <w:rPr>
                <w:rFonts w:eastAsia="仿宋_GB2312"/>
                <w:kern w:val="0"/>
                <w:sz w:val="24"/>
              </w:rPr>
              <w:t>7600</w:t>
            </w:r>
            <w:r>
              <w:rPr>
                <w:rFonts w:eastAsia="仿宋_GB2312" w:hint="eastAsia"/>
                <w:kern w:val="0"/>
                <w:sz w:val="24"/>
              </w:rPr>
              <w:t>元标准给予奖励。</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市级发放资金由市财政负担；区级发放资金由市、区财政负担，市财政给予各区</w:t>
            </w:r>
            <w:r>
              <w:rPr>
                <w:rFonts w:eastAsia="仿宋_GB2312"/>
                <w:kern w:val="0"/>
                <w:sz w:val="24"/>
              </w:rPr>
              <w:t>40%</w:t>
            </w:r>
            <w:r>
              <w:rPr>
                <w:rFonts w:eastAsia="仿宋_GB2312" w:hint="eastAsia"/>
                <w:kern w:val="0"/>
                <w:sz w:val="24"/>
              </w:rPr>
              <w:t>转移支付补助</w:t>
            </w:r>
            <w:r>
              <w:rPr>
                <w:rFonts w:eastAsia="仿宋_GB2312" w:hint="eastAsia"/>
                <w:sz w:val="24"/>
              </w:rPr>
              <w:t>。</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自愿申请且符合条件的</w:t>
            </w:r>
            <w:r>
              <w:rPr>
                <w:rFonts w:eastAsia="仿宋_GB2312"/>
                <w:kern w:val="0"/>
                <w:sz w:val="24"/>
              </w:rPr>
              <w:t>100%</w:t>
            </w:r>
            <w:r>
              <w:rPr>
                <w:rFonts w:eastAsia="仿宋_GB2312" w:hint="eastAsia"/>
                <w:kern w:val="0"/>
                <w:sz w:val="24"/>
              </w:rPr>
              <w:t>覆盖</w:t>
            </w:r>
          </w:p>
        </w:tc>
      </w:tr>
      <w:tr w:rsidR="002C2F4D">
        <w:trPr>
          <w:cantSplit/>
          <w:trHeight w:val="1497"/>
          <w:jc w:val="center"/>
        </w:trPr>
        <w:tc>
          <w:tcPr>
            <w:tcW w:w="1433" w:type="dxa"/>
            <w:vMerge/>
            <w:vAlign w:val="center"/>
          </w:tcPr>
          <w:p w:rsidR="002C2F4D" w:rsidRDefault="002C2F4D">
            <w:pPr>
              <w:adjustRightInd w:val="0"/>
              <w:snapToGrid w:val="0"/>
              <w:rPr>
                <w:rFonts w:eastAsia="仿宋_GB2312"/>
                <w:kern w:val="0"/>
                <w:sz w:val="24"/>
              </w:rPr>
            </w:pP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自主创业残疾人</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创办企业补贴</w:t>
            </w:r>
            <w:r>
              <w:rPr>
                <w:rFonts w:eastAsia="仿宋_GB2312"/>
                <w:kern w:val="0"/>
                <w:sz w:val="24"/>
              </w:rPr>
              <w:t>20000</w:t>
            </w:r>
            <w:r>
              <w:rPr>
                <w:rFonts w:eastAsia="仿宋_GB2312" w:hint="eastAsia"/>
                <w:kern w:val="0"/>
                <w:sz w:val="24"/>
              </w:rPr>
              <w:t>元，创办个体工商户补贴</w:t>
            </w:r>
            <w:r>
              <w:rPr>
                <w:rFonts w:eastAsia="仿宋_GB2312"/>
                <w:kern w:val="0"/>
                <w:sz w:val="24"/>
              </w:rPr>
              <w:t>5000</w:t>
            </w:r>
            <w:r>
              <w:rPr>
                <w:rFonts w:eastAsia="仿宋_GB2312" w:hint="eastAsia"/>
                <w:kern w:val="0"/>
                <w:sz w:val="24"/>
              </w:rPr>
              <w:t>元。</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市、区财政负担，市财政给予各区</w:t>
            </w:r>
            <w:r>
              <w:rPr>
                <w:rFonts w:eastAsia="仿宋_GB2312"/>
                <w:kern w:val="0"/>
                <w:sz w:val="24"/>
              </w:rPr>
              <w:t>40%</w:t>
            </w:r>
            <w:r>
              <w:rPr>
                <w:rFonts w:eastAsia="仿宋_GB2312" w:hint="eastAsia"/>
                <w:kern w:val="0"/>
                <w:sz w:val="24"/>
              </w:rPr>
              <w:t>转移支付补助。</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自愿申请且符合条件的</w:t>
            </w:r>
            <w:r>
              <w:rPr>
                <w:rFonts w:eastAsia="仿宋_GB2312"/>
                <w:kern w:val="0"/>
                <w:sz w:val="24"/>
              </w:rPr>
              <w:t>100%</w:t>
            </w:r>
            <w:r>
              <w:rPr>
                <w:rFonts w:eastAsia="仿宋_GB2312" w:hint="eastAsia"/>
                <w:kern w:val="0"/>
                <w:sz w:val="24"/>
              </w:rPr>
              <w:t>覆盖</w:t>
            </w:r>
          </w:p>
        </w:tc>
      </w:tr>
      <w:tr w:rsidR="002C2F4D">
        <w:trPr>
          <w:cantSplit/>
          <w:trHeight w:val="1809"/>
          <w:jc w:val="center"/>
        </w:trPr>
        <w:tc>
          <w:tcPr>
            <w:tcW w:w="1433" w:type="dxa"/>
            <w:vMerge/>
            <w:vAlign w:val="center"/>
          </w:tcPr>
          <w:p w:rsidR="002C2F4D" w:rsidRDefault="002C2F4D">
            <w:pPr>
              <w:adjustRightInd w:val="0"/>
              <w:snapToGrid w:val="0"/>
              <w:rPr>
                <w:rFonts w:eastAsia="仿宋_GB2312"/>
                <w:kern w:val="0"/>
                <w:sz w:val="24"/>
              </w:rPr>
            </w:pP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残疾人个体工商户</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按照实际缴纳金额给予保险补贴，月补贴金额不超过</w:t>
            </w:r>
            <w:r>
              <w:rPr>
                <w:rFonts w:eastAsia="仿宋_GB2312"/>
                <w:kern w:val="0"/>
                <w:sz w:val="24"/>
              </w:rPr>
              <w:t>800</w:t>
            </w:r>
            <w:r>
              <w:rPr>
                <w:rFonts w:eastAsia="仿宋_GB2312" w:hint="eastAsia"/>
                <w:kern w:val="0"/>
                <w:sz w:val="24"/>
              </w:rPr>
              <w:t>元。只缴纳养老保险的，月补贴金额不超过</w:t>
            </w:r>
            <w:r>
              <w:rPr>
                <w:rFonts w:eastAsia="仿宋_GB2312"/>
                <w:kern w:val="0"/>
                <w:sz w:val="24"/>
              </w:rPr>
              <w:t>550</w:t>
            </w:r>
            <w:r>
              <w:rPr>
                <w:rFonts w:eastAsia="仿宋_GB2312" w:hint="eastAsia"/>
                <w:kern w:val="0"/>
                <w:sz w:val="24"/>
              </w:rPr>
              <w:t>元。</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市、区财政负担，市财政给予各区</w:t>
            </w:r>
            <w:r>
              <w:rPr>
                <w:rFonts w:eastAsia="仿宋_GB2312"/>
                <w:kern w:val="0"/>
                <w:sz w:val="24"/>
              </w:rPr>
              <w:t>40%</w:t>
            </w:r>
            <w:r>
              <w:rPr>
                <w:rFonts w:eastAsia="仿宋_GB2312" w:hint="eastAsia"/>
                <w:kern w:val="0"/>
                <w:sz w:val="24"/>
              </w:rPr>
              <w:t>转移支付补助。</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自愿申请且符合条件的</w:t>
            </w:r>
            <w:r>
              <w:rPr>
                <w:rFonts w:eastAsia="仿宋_GB2312"/>
                <w:kern w:val="0"/>
                <w:sz w:val="24"/>
              </w:rPr>
              <w:t>100%</w:t>
            </w:r>
            <w:r>
              <w:rPr>
                <w:rFonts w:eastAsia="仿宋_GB2312" w:hint="eastAsia"/>
                <w:kern w:val="0"/>
                <w:sz w:val="24"/>
              </w:rPr>
              <w:t>覆盖</w:t>
            </w:r>
          </w:p>
        </w:tc>
      </w:tr>
      <w:tr w:rsidR="002C2F4D">
        <w:trPr>
          <w:cantSplit/>
          <w:trHeight w:val="1485"/>
          <w:jc w:val="center"/>
        </w:trPr>
        <w:tc>
          <w:tcPr>
            <w:tcW w:w="1433" w:type="dxa"/>
            <w:vMerge/>
            <w:vAlign w:val="center"/>
          </w:tcPr>
          <w:p w:rsidR="002C2F4D" w:rsidRDefault="002C2F4D">
            <w:pPr>
              <w:adjustRightInd w:val="0"/>
              <w:snapToGrid w:val="0"/>
              <w:rPr>
                <w:rFonts w:eastAsia="仿宋_GB2312"/>
                <w:kern w:val="0"/>
                <w:sz w:val="24"/>
              </w:rPr>
            </w:pP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雇佣残疾人的个体工商户</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按照实际缴纳金额给予保险补贴，月补贴金额不超过</w:t>
            </w:r>
            <w:r>
              <w:rPr>
                <w:rFonts w:eastAsia="仿宋_GB2312"/>
                <w:kern w:val="0"/>
                <w:sz w:val="24"/>
              </w:rPr>
              <w:t>800</w:t>
            </w:r>
            <w:r>
              <w:rPr>
                <w:rFonts w:eastAsia="仿宋_GB2312" w:hint="eastAsia"/>
                <w:kern w:val="0"/>
                <w:sz w:val="24"/>
              </w:rPr>
              <w:t>元。</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市、区财政负担，市财政给予各区</w:t>
            </w:r>
            <w:r>
              <w:rPr>
                <w:rFonts w:eastAsia="仿宋_GB2312"/>
                <w:kern w:val="0"/>
                <w:sz w:val="24"/>
              </w:rPr>
              <w:t>40%</w:t>
            </w:r>
            <w:r>
              <w:rPr>
                <w:rFonts w:eastAsia="仿宋_GB2312" w:hint="eastAsia"/>
                <w:kern w:val="0"/>
                <w:sz w:val="24"/>
              </w:rPr>
              <w:t>转移支付补助。</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自愿申请且符合条件的</w:t>
            </w:r>
            <w:r>
              <w:rPr>
                <w:rFonts w:eastAsia="仿宋_GB2312"/>
                <w:kern w:val="0"/>
                <w:sz w:val="24"/>
              </w:rPr>
              <w:t>100%</w:t>
            </w:r>
            <w:r>
              <w:rPr>
                <w:rFonts w:eastAsia="仿宋_GB2312" w:hint="eastAsia"/>
                <w:kern w:val="0"/>
                <w:sz w:val="24"/>
              </w:rPr>
              <w:t>覆盖</w:t>
            </w:r>
          </w:p>
        </w:tc>
      </w:tr>
      <w:tr w:rsidR="002C2F4D">
        <w:trPr>
          <w:cantSplit/>
          <w:trHeight w:val="454"/>
          <w:jc w:val="center"/>
        </w:trPr>
        <w:tc>
          <w:tcPr>
            <w:tcW w:w="1433" w:type="dxa"/>
            <w:vMerge w:val="restart"/>
            <w:vAlign w:val="center"/>
          </w:tcPr>
          <w:p w:rsidR="002C2F4D" w:rsidRDefault="00061D81">
            <w:pPr>
              <w:adjustRightInd w:val="0"/>
              <w:snapToGrid w:val="0"/>
              <w:rPr>
                <w:rFonts w:eastAsia="仿宋_GB2312"/>
                <w:kern w:val="0"/>
                <w:sz w:val="24"/>
              </w:rPr>
            </w:pPr>
            <w:r>
              <w:rPr>
                <w:rFonts w:eastAsia="仿宋_GB2312" w:hint="eastAsia"/>
                <w:kern w:val="0"/>
                <w:sz w:val="24"/>
              </w:rPr>
              <w:t>残疾人职业培训和就业服务</w:t>
            </w:r>
          </w:p>
        </w:tc>
        <w:tc>
          <w:tcPr>
            <w:tcW w:w="2331" w:type="dxa"/>
            <w:vAlign w:val="center"/>
          </w:tcPr>
          <w:p w:rsidR="002C2F4D" w:rsidRDefault="00061D81">
            <w:pPr>
              <w:adjustRightInd w:val="0"/>
              <w:snapToGrid w:val="0"/>
              <w:rPr>
                <w:rFonts w:eastAsia="仿宋_GB2312"/>
                <w:kern w:val="0"/>
                <w:sz w:val="24"/>
              </w:rPr>
            </w:pPr>
            <w:r>
              <w:rPr>
                <w:rFonts w:ascii="仿宋_GB2312" w:eastAsia="仿宋_GB2312" w:hint="eastAsia"/>
                <w:sz w:val="24"/>
              </w:rPr>
              <w:t>农村残疾人助残帮扶基地</w:t>
            </w:r>
          </w:p>
        </w:tc>
        <w:tc>
          <w:tcPr>
            <w:tcW w:w="2778" w:type="dxa"/>
            <w:vAlign w:val="center"/>
          </w:tcPr>
          <w:p w:rsidR="002C2F4D" w:rsidRDefault="00061D81">
            <w:pPr>
              <w:adjustRightInd w:val="0"/>
              <w:snapToGrid w:val="0"/>
              <w:rPr>
                <w:rFonts w:eastAsia="仿宋_GB2312"/>
                <w:spacing w:val="-6"/>
                <w:kern w:val="0"/>
                <w:sz w:val="24"/>
              </w:rPr>
            </w:pPr>
            <w:r>
              <w:rPr>
                <w:rFonts w:eastAsia="仿宋_GB2312" w:hint="eastAsia"/>
                <w:spacing w:val="-6"/>
                <w:kern w:val="0"/>
                <w:sz w:val="24"/>
              </w:rPr>
              <w:t>对农村残疾人助残帮扶基地按直接安置人数和间接帮扶家庭数给予奖励补贴，直接安置</w:t>
            </w:r>
            <w:r>
              <w:rPr>
                <w:rFonts w:eastAsia="仿宋_GB2312"/>
                <w:spacing w:val="-6"/>
                <w:kern w:val="0"/>
                <w:sz w:val="24"/>
              </w:rPr>
              <w:t>5</w:t>
            </w:r>
            <w:r>
              <w:rPr>
                <w:rFonts w:eastAsia="仿宋_GB2312" w:hint="eastAsia"/>
                <w:spacing w:val="-6"/>
                <w:kern w:val="0"/>
                <w:sz w:val="24"/>
              </w:rPr>
              <w:t>人或间接帮扶</w:t>
            </w:r>
            <w:r>
              <w:rPr>
                <w:rFonts w:eastAsia="仿宋_GB2312"/>
                <w:spacing w:val="-6"/>
                <w:kern w:val="0"/>
                <w:sz w:val="24"/>
              </w:rPr>
              <w:t>10</w:t>
            </w:r>
            <w:r>
              <w:rPr>
                <w:rFonts w:eastAsia="仿宋_GB2312" w:hint="eastAsia"/>
                <w:spacing w:val="-6"/>
                <w:kern w:val="0"/>
                <w:sz w:val="24"/>
              </w:rPr>
              <w:t>户以下的，按每安置</w:t>
            </w:r>
            <w:r>
              <w:rPr>
                <w:rFonts w:eastAsia="仿宋_GB2312"/>
                <w:spacing w:val="-6"/>
                <w:kern w:val="0"/>
                <w:sz w:val="24"/>
              </w:rPr>
              <w:t>1</w:t>
            </w:r>
            <w:r>
              <w:rPr>
                <w:rFonts w:eastAsia="仿宋_GB2312" w:hint="eastAsia"/>
                <w:spacing w:val="-6"/>
                <w:kern w:val="0"/>
                <w:sz w:val="24"/>
              </w:rPr>
              <w:t>人或每间接帮扶</w:t>
            </w:r>
            <w:r>
              <w:rPr>
                <w:rFonts w:eastAsia="仿宋_GB2312"/>
                <w:spacing w:val="-6"/>
                <w:kern w:val="0"/>
                <w:sz w:val="24"/>
              </w:rPr>
              <w:t>2</w:t>
            </w:r>
            <w:r>
              <w:rPr>
                <w:rFonts w:eastAsia="仿宋_GB2312" w:hint="eastAsia"/>
                <w:spacing w:val="-6"/>
                <w:kern w:val="0"/>
                <w:sz w:val="24"/>
              </w:rPr>
              <w:t>户发放</w:t>
            </w:r>
            <w:r>
              <w:rPr>
                <w:rFonts w:eastAsia="仿宋_GB2312"/>
                <w:spacing w:val="-6"/>
                <w:kern w:val="0"/>
                <w:sz w:val="24"/>
              </w:rPr>
              <w:t>1</w:t>
            </w:r>
            <w:r>
              <w:rPr>
                <w:rFonts w:eastAsia="仿宋_GB2312" w:hint="eastAsia"/>
                <w:spacing w:val="-6"/>
                <w:kern w:val="0"/>
                <w:sz w:val="24"/>
              </w:rPr>
              <w:t>万元奖励补贴资金；直接安置</w:t>
            </w:r>
            <w:r>
              <w:rPr>
                <w:rFonts w:eastAsia="仿宋_GB2312"/>
                <w:spacing w:val="-6"/>
                <w:kern w:val="0"/>
                <w:sz w:val="24"/>
              </w:rPr>
              <w:t>5</w:t>
            </w:r>
            <w:r>
              <w:rPr>
                <w:rFonts w:eastAsia="仿宋_GB2312" w:hint="eastAsia"/>
                <w:spacing w:val="-6"/>
                <w:kern w:val="0"/>
                <w:sz w:val="24"/>
              </w:rPr>
              <w:t>人不足</w:t>
            </w:r>
            <w:r>
              <w:rPr>
                <w:rFonts w:eastAsia="仿宋_GB2312"/>
                <w:spacing w:val="-6"/>
                <w:kern w:val="0"/>
                <w:sz w:val="24"/>
              </w:rPr>
              <w:t>10</w:t>
            </w:r>
            <w:r>
              <w:rPr>
                <w:rFonts w:eastAsia="仿宋_GB2312" w:hint="eastAsia"/>
                <w:spacing w:val="-6"/>
                <w:kern w:val="0"/>
                <w:sz w:val="24"/>
              </w:rPr>
              <w:t>人或间接帮扶</w:t>
            </w:r>
            <w:r>
              <w:rPr>
                <w:rFonts w:eastAsia="仿宋_GB2312"/>
                <w:spacing w:val="-6"/>
                <w:kern w:val="0"/>
                <w:sz w:val="24"/>
              </w:rPr>
              <w:t>10</w:t>
            </w:r>
            <w:r>
              <w:rPr>
                <w:rFonts w:eastAsia="仿宋_GB2312" w:hint="eastAsia"/>
                <w:spacing w:val="-6"/>
                <w:kern w:val="0"/>
                <w:sz w:val="24"/>
              </w:rPr>
              <w:t>户不足</w:t>
            </w:r>
            <w:r>
              <w:rPr>
                <w:rFonts w:eastAsia="仿宋_GB2312"/>
                <w:spacing w:val="-6"/>
                <w:kern w:val="0"/>
                <w:sz w:val="24"/>
              </w:rPr>
              <w:t>20</w:t>
            </w:r>
            <w:r>
              <w:rPr>
                <w:rFonts w:eastAsia="仿宋_GB2312" w:hint="eastAsia"/>
                <w:spacing w:val="-6"/>
                <w:kern w:val="0"/>
                <w:sz w:val="24"/>
              </w:rPr>
              <w:t>户的，按每安置</w:t>
            </w:r>
            <w:r>
              <w:rPr>
                <w:rFonts w:eastAsia="仿宋_GB2312"/>
                <w:spacing w:val="-6"/>
                <w:kern w:val="0"/>
                <w:sz w:val="24"/>
              </w:rPr>
              <w:t>1</w:t>
            </w:r>
            <w:r>
              <w:rPr>
                <w:rFonts w:eastAsia="仿宋_GB2312" w:hint="eastAsia"/>
                <w:spacing w:val="-6"/>
                <w:kern w:val="0"/>
                <w:sz w:val="24"/>
              </w:rPr>
              <w:t>人或每间接帮扶</w:t>
            </w:r>
            <w:r>
              <w:rPr>
                <w:rFonts w:eastAsia="仿宋_GB2312"/>
                <w:spacing w:val="-6"/>
                <w:kern w:val="0"/>
                <w:sz w:val="24"/>
              </w:rPr>
              <w:t>2</w:t>
            </w:r>
            <w:r>
              <w:rPr>
                <w:rFonts w:eastAsia="仿宋_GB2312" w:hint="eastAsia"/>
                <w:spacing w:val="-6"/>
                <w:kern w:val="0"/>
                <w:sz w:val="24"/>
              </w:rPr>
              <w:t>户发放</w:t>
            </w:r>
            <w:r>
              <w:rPr>
                <w:rFonts w:eastAsia="仿宋_GB2312"/>
                <w:spacing w:val="-6"/>
                <w:kern w:val="0"/>
                <w:sz w:val="24"/>
              </w:rPr>
              <w:t>1.5</w:t>
            </w:r>
            <w:r>
              <w:rPr>
                <w:rFonts w:eastAsia="仿宋_GB2312" w:hint="eastAsia"/>
                <w:spacing w:val="-6"/>
                <w:kern w:val="0"/>
                <w:sz w:val="24"/>
              </w:rPr>
              <w:t>万元奖励补贴资金；直接安置</w:t>
            </w:r>
            <w:r>
              <w:rPr>
                <w:rFonts w:eastAsia="仿宋_GB2312"/>
                <w:spacing w:val="-6"/>
                <w:kern w:val="0"/>
                <w:sz w:val="24"/>
              </w:rPr>
              <w:t>10</w:t>
            </w:r>
            <w:r>
              <w:rPr>
                <w:rFonts w:eastAsia="仿宋_GB2312" w:hint="eastAsia"/>
                <w:spacing w:val="-6"/>
                <w:kern w:val="0"/>
                <w:sz w:val="24"/>
              </w:rPr>
              <w:t>人或间接帮扶</w:t>
            </w:r>
            <w:r>
              <w:rPr>
                <w:rFonts w:eastAsia="仿宋_GB2312"/>
                <w:spacing w:val="-6"/>
                <w:kern w:val="0"/>
                <w:sz w:val="24"/>
              </w:rPr>
              <w:t>20</w:t>
            </w:r>
            <w:r>
              <w:rPr>
                <w:rFonts w:eastAsia="仿宋_GB2312" w:hint="eastAsia"/>
                <w:spacing w:val="-6"/>
                <w:kern w:val="0"/>
                <w:sz w:val="24"/>
              </w:rPr>
              <w:t>户的，奖励补贴</w:t>
            </w:r>
            <w:r>
              <w:rPr>
                <w:rFonts w:eastAsia="仿宋_GB2312"/>
                <w:spacing w:val="-6"/>
                <w:kern w:val="0"/>
                <w:sz w:val="24"/>
              </w:rPr>
              <w:t>20</w:t>
            </w:r>
            <w:r>
              <w:rPr>
                <w:rFonts w:eastAsia="仿宋_GB2312" w:hint="eastAsia"/>
                <w:spacing w:val="-6"/>
                <w:kern w:val="0"/>
                <w:sz w:val="24"/>
              </w:rPr>
              <w:t>万元，每多安置</w:t>
            </w:r>
            <w:r>
              <w:rPr>
                <w:rFonts w:eastAsia="仿宋_GB2312"/>
                <w:spacing w:val="-6"/>
                <w:kern w:val="0"/>
                <w:sz w:val="24"/>
              </w:rPr>
              <w:t>1</w:t>
            </w:r>
            <w:r>
              <w:rPr>
                <w:rFonts w:eastAsia="仿宋_GB2312" w:hint="eastAsia"/>
                <w:spacing w:val="-6"/>
                <w:kern w:val="0"/>
                <w:sz w:val="24"/>
              </w:rPr>
              <w:t>人或多间接帮扶</w:t>
            </w:r>
            <w:r>
              <w:rPr>
                <w:rFonts w:eastAsia="仿宋_GB2312"/>
                <w:spacing w:val="-6"/>
                <w:kern w:val="0"/>
                <w:sz w:val="24"/>
              </w:rPr>
              <w:t>2</w:t>
            </w:r>
            <w:r>
              <w:rPr>
                <w:rFonts w:eastAsia="仿宋_GB2312" w:hint="eastAsia"/>
                <w:spacing w:val="-6"/>
                <w:kern w:val="0"/>
                <w:sz w:val="24"/>
              </w:rPr>
              <w:t>户，奖励补贴资金增加</w:t>
            </w:r>
            <w:r>
              <w:rPr>
                <w:rFonts w:eastAsia="仿宋_GB2312"/>
                <w:spacing w:val="-6"/>
                <w:kern w:val="0"/>
                <w:sz w:val="24"/>
              </w:rPr>
              <w:t>2</w:t>
            </w:r>
            <w:r>
              <w:rPr>
                <w:rFonts w:eastAsia="仿宋_GB2312" w:hint="eastAsia"/>
                <w:spacing w:val="-6"/>
                <w:kern w:val="0"/>
                <w:sz w:val="24"/>
              </w:rPr>
              <w:t>万元。</w:t>
            </w:r>
          </w:p>
        </w:tc>
        <w:tc>
          <w:tcPr>
            <w:tcW w:w="1812" w:type="dxa"/>
            <w:vAlign w:val="center"/>
          </w:tcPr>
          <w:p w:rsidR="002C2F4D" w:rsidRDefault="00061D81">
            <w:pPr>
              <w:adjustRightInd w:val="0"/>
              <w:snapToGrid w:val="0"/>
              <w:rPr>
                <w:rFonts w:eastAsia="仿宋_GB2312"/>
                <w:kern w:val="0"/>
                <w:sz w:val="24"/>
              </w:rPr>
            </w:pPr>
            <w:r>
              <w:rPr>
                <w:rFonts w:eastAsia="仿宋_GB2312"/>
                <w:kern w:val="0"/>
                <w:sz w:val="24"/>
              </w:rPr>
              <w:t>2019</w:t>
            </w:r>
            <w:r>
              <w:rPr>
                <w:rFonts w:eastAsia="仿宋_GB2312" w:hint="eastAsia"/>
                <w:kern w:val="0"/>
                <w:sz w:val="24"/>
              </w:rPr>
              <w:t>年</w:t>
            </w:r>
            <w:r>
              <w:rPr>
                <w:rFonts w:eastAsia="仿宋_GB2312"/>
                <w:kern w:val="0"/>
                <w:sz w:val="24"/>
              </w:rPr>
              <w:t>11</w:t>
            </w:r>
            <w:r>
              <w:rPr>
                <w:rFonts w:eastAsia="仿宋_GB2312" w:hint="eastAsia"/>
                <w:kern w:val="0"/>
                <w:sz w:val="24"/>
              </w:rPr>
              <w:t>月</w:t>
            </w:r>
            <w:r>
              <w:rPr>
                <w:rFonts w:eastAsia="仿宋_GB2312"/>
                <w:kern w:val="0"/>
                <w:sz w:val="24"/>
              </w:rPr>
              <w:t>30</w:t>
            </w:r>
            <w:r>
              <w:rPr>
                <w:rFonts w:eastAsia="仿宋_GB2312" w:hint="eastAsia"/>
                <w:kern w:val="0"/>
                <w:sz w:val="24"/>
              </w:rPr>
              <w:t>日前建立的扶贫（帮扶）基地，补贴资金由市财政负担，</w:t>
            </w:r>
            <w:r>
              <w:rPr>
                <w:rFonts w:eastAsia="仿宋_GB2312"/>
                <w:kern w:val="0"/>
                <w:sz w:val="24"/>
              </w:rPr>
              <w:t>2019</w:t>
            </w:r>
            <w:r>
              <w:rPr>
                <w:rFonts w:eastAsia="仿宋_GB2312"/>
                <w:kern w:val="0"/>
                <w:sz w:val="24"/>
              </w:rPr>
              <w:t>年</w:t>
            </w:r>
            <w:r>
              <w:rPr>
                <w:rFonts w:eastAsia="仿宋_GB2312"/>
                <w:kern w:val="0"/>
                <w:sz w:val="24"/>
              </w:rPr>
              <w:t>11</w:t>
            </w:r>
            <w:r>
              <w:rPr>
                <w:rFonts w:eastAsia="仿宋_GB2312"/>
                <w:kern w:val="0"/>
                <w:sz w:val="24"/>
              </w:rPr>
              <w:t>月</w:t>
            </w:r>
            <w:r>
              <w:rPr>
                <w:rFonts w:eastAsia="仿宋_GB2312"/>
                <w:kern w:val="0"/>
                <w:sz w:val="24"/>
              </w:rPr>
              <w:t>30</w:t>
            </w:r>
            <w:r>
              <w:rPr>
                <w:rFonts w:eastAsia="仿宋_GB2312"/>
                <w:kern w:val="0"/>
                <w:sz w:val="24"/>
              </w:rPr>
              <w:t>日</w:t>
            </w:r>
            <w:r>
              <w:rPr>
                <w:rFonts w:eastAsia="仿宋_GB2312" w:hint="eastAsia"/>
                <w:kern w:val="0"/>
                <w:sz w:val="24"/>
              </w:rPr>
              <w:t>以后建立的扶贫（帮扶）基地由区财政负担。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自愿申请且符合条件的</w:t>
            </w:r>
            <w:r>
              <w:rPr>
                <w:rFonts w:eastAsia="仿宋_GB2312"/>
                <w:kern w:val="0"/>
                <w:sz w:val="24"/>
              </w:rPr>
              <w:t>100%</w:t>
            </w:r>
            <w:r>
              <w:rPr>
                <w:rFonts w:eastAsia="仿宋_GB2312" w:hint="eastAsia"/>
                <w:kern w:val="0"/>
                <w:sz w:val="24"/>
              </w:rPr>
              <w:t>覆盖</w:t>
            </w:r>
          </w:p>
        </w:tc>
      </w:tr>
      <w:tr w:rsidR="002C2F4D">
        <w:trPr>
          <w:cantSplit/>
          <w:trHeight w:val="454"/>
          <w:jc w:val="center"/>
        </w:trPr>
        <w:tc>
          <w:tcPr>
            <w:tcW w:w="1433" w:type="dxa"/>
            <w:vMerge/>
            <w:vAlign w:val="center"/>
          </w:tcPr>
          <w:p w:rsidR="002C2F4D" w:rsidRDefault="002C2F4D">
            <w:pPr>
              <w:adjustRightInd w:val="0"/>
              <w:snapToGrid w:val="0"/>
              <w:rPr>
                <w:rFonts w:eastAsia="仿宋_GB2312"/>
                <w:kern w:val="0"/>
                <w:sz w:val="24"/>
              </w:rPr>
            </w:pP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新招用残疾人就业的用人单位</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按照每人每月</w:t>
            </w:r>
            <w:r>
              <w:rPr>
                <w:rFonts w:eastAsia="仿宋_GB2312"/>
                <w:kern w:val="0"/>
                <w:sz w:val="24"/>
              </w:rPr>
              <w:t>500</w:t>
            </w:r>
            <w:r>
              <w:rPr>
                <w:rFonts w:eastAsia="仿宋_GB2312" w:hint="eastAsia"/>
                <w:kern w:val="0"/>
                <w:sz w:val="24"/>
              </w:rPr>
              <w:t>元给予补贴，高校毕业生按照每人每月</w:t>
            </w:r>
            <w:r>
              <w:rPr>
                <w:rFonts w:eastAsia="仿宋_GB2312"/>
                <w:kern w:val="0"/>
                <w:sz w:val="24"/>
              </w:rPr>
              <w:t>1200</w:t>
            </w:r>
            <w:r>
              <w:rPr>
                <w:rFonts w:eastAsia="仿宋_GB2312" w:hint="eastAsia"/>
                <w:kern w:val="0"/>
                <w:sz w:val="24"/>
              </w:rPr>
              <w:t>元给予补贴。</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市级发放资金由市财政负担；区级发放资金由市、区财政负担，市财政给予各区</w:t>
            </w:r>
            <w:r>
              <w:rPr>
                <w:rFonts w:eastAsia="仿宋_GB2312"/>
                <w:kern w:val="0"/>
                <w:sz w:val="24"/>
              </w:rPr>
              <w:t>40%</w:t>
            </w:r>
            <w:r>
              <w:rPr>
                <w:rFonts w:eastAsia="仿宋_GB2312" w:hint="eastAsia"/>
                <w:kern w:val="0"/>
                <w:sz w:val="24"/>
              </w:rPr>
              <w:t>转移支付补助。</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自愿申请且符合条件的</w:t>
            </w:r>
            <w:r>
              <w:rPr>
                <w:rFonts w:eastAsia="仿宋_GB2312"/>
                <w:kern w:val="0"/>
                <w:sz w:val="24"/>
              </w:rPr>
              <w:t>100%</w:t>
            </w:r>
            <w:r>
              <w:rPr>
                <w:rFonts w:eastAsia="仿宋_GB2312" w:hint="eastAsia"/>
                <w:kern w:val="0"/>
                <w:sz w:val="24"/>
              </w:rPr>
              <w:t>覆盖</w:t>
            </w:r>
          </w:p>
        </w:tc>
      </w:tr>
      <w:tr w:rsidR="002C2F4D">
        <w:trPr>
          <w:cantSplit/>
          <w:trHeight w:val="454"/>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残疾人文化体育服务</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残疾人</w:t>
            </w:r>
          </w:p>
        </w:tc>
        <w:tc>
          <w:tcPr>
            <w:tcW w:w="2778" w:type="dxa"/>
            <w:vAlign w:val="center"/>
          </w:tcPr>
          <w:p w:rsidR="002C2F4D" w:rsidRDefault="00061D81">
            <w:pPr>
              <w:adjustRightInd w:val="0"/>
              <w:snapToGrid w:val="0"/>
              <w:rPr>
                <w:rFonts w:eastAsia="仿宋_GB2312"/>
                <w:spacing w:val="-6"/>
                <w:kern w:val="0"/>
                <w:sz w:val="24"/>
              </w:rPr>
            </w:pPr>
            <w:r>
              <w:rPr>
                <w:rFonts w:eastAsia="仿宋_GB2312" w:hint="eastAsia"/>
                <w:spacing w:val="-6"/>
                <w:kern w:val="0"/>
                <w:sz w:val="24"/>
              </w:rPr>
              <w:t>天津图书馆及各区公共图书馆常年向各类残疾人免费开放；举办“牵手残疾人走进图书馆”线上征集书画、征文活动；天津海河传媒中心科教频道《我们同行》手语专题节目每两周制作一期节目满足残疾人需求。在公共体育活动场所、示范点配置适宜残疾人的体育器材；举办残疾人全民健身活动；举办残疾人健身周活动；发放社区残疾人体育健身器材；康复体育进家庭；免费提供体育健身指导服务。</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市、区财政负担。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文化服务目标人群覆盖率</w:t>
            </w:r>
            <w:r>
              <w:rPr>
                <w:rFonts w:eastAsia="仿宋_GB2312"/>
                <w:kern w:val="0"/>
                <w:sz w:val="24"/>
              </w:rPr>
              <w:t>50%</w:t>
            </w:r>
            <w:r>
              <w:rPr>
                <w:rFonts w:eastAsia="仿宋_GB2312" w:hint="eastAsia"/>
                <w:kern w:val="0"/>
                <w:sz w:val="24"/>
              </w:rPr>
              <w:t>；体育服务目标人群覆盖率</w:t>
            </w:r>
            <w:r>
              <w:rPr>
                <w:rFonts w:eastAsia="仿宋_GB2312"/>
                <w:kern w:val="0"/>
                <w:sz w:val="24"/>
              </w:rPr>
              <w:t>55%</w:t>
            </w:r>
          </w:p>
        </w:tc>
      </w:tr>
      <w:tr w:rsidR="002C2F4D">
        <w:trPr>
          <w:cantSplit/>
          <w:trHeight w:val="454"/>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残疾人康复服务</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有康复需求的残疾儿童和持有合法有效的残疾人证的残疾人</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按照残疾人精准康复服务相关规定执行。</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各级财政负担。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对符合条件、有康复需求的残疾儿童和持证残疾人覆盖率</w:t>
            </w:r>
            <w:r>
              <w:rPr>
                <w:rFonts w:eastAsia="仿宋_GB2312"/>
                <w:kern w:val="0"/>
                <w:sz w:val="24"/>
              </w:rPr>
              <w:t>85%</w:t>
            </w:r>
            <w:r>
              <w:rPr>
                <w:rFonts w:eastAsia="仿宋_GB2312" w:hint="eastAsia"/>
                <w:kern w:val="0"/>
                <w:sz w:val="24"/>
              </w:rPr>
              <w:t>以上</w:t>
            </w:r>
          </w:p>
        </w:tc>
      </w:tr>
      <w:tr w:rsidR="002C2F4D">
        <w:trPr>
          <w:cantSplit/>
          <w:trHeight w:val="454"/>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残疾人辅助器具服务</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具有本市户籍、持有合法有效的残疾人证的残疾人</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为视力残疾人验配助视器、为肢体残疾人装配假肢和矫形器、为听力残疾人验配助听器、为肢体残疾人适配辅助器具。</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市、区财政负担。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有需求且符合条件的残疾人接受辅助器具服务比例达到</w:t>
            </w:r>
            <w:r>
              <w:rPr>
                <w:rFonts w:eastAsia="仿宋_GB2312"/>
                <w:kern w:val="0"/>
                <w:sz w:val="24"/>
              </w:rPr>
              <w:t>85%</w:t>
            </w:r>
            <w:r>
              <w:rPr>
                <w:rFonts w:eastAsia="仿宋_GB2312" w:hint="eastAsia"/>
                <w:kern w:val="0"/>
                <w:sz w:val="24"/>
              </w:rPr>
              <w:t>以上</w:t>
            </w:r>
          </w:p>
        </w:tc>
      </w:tr>
      <w:tr w:rsidR="002C2F4D">
        <w:trPr>
          <w:cantSplit/>
          <w:trHeight w:val="454"/>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残疾人法律援助</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持有本市合法有效的残疾人证且符合法律援助条件的残疾人</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按照法律援助标准执行。</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市、区财政负担，其中符合法律法规规定的法律援助经济困难标准的，纳入法律援助同级财政预算。</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有需求且符合条件的</w:t>
            </w:r>
            <w:r>
              <w:rPr>
                <w:rFonts w:eastAsia="仿宋_GB2312"/>
                <w:kern w:val="0"/>
                <w:sz w:val="24"/>
              </w:rPr>
              <w:t>100%</w:t>
            </w:r>
            <w:r>
              <w:rPr>
                <w:rFonts w:eastAsia="仿宋_GB2312" w:hint="eastAsia"/>
                <w:kern w:val="0"/>
                <w:sz w:val="24"/>
              </w:rPr>
              <w:t>覆盖</w:t>
            </w:r>
          </w:p>
        </w:tc>
      </w:tr>
      <w:tr w:rsidR="002C2F4D">
        <w:trPr>
          <w:cantSplit/>
          <w:trHeight w:val="454"/>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残疾人和老年人无障碍环境建设</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优先保障困难残疾人或重度残疾人和老年人，有条件的区可扩大改造范围</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依据《天津市无障碍环境建设管理办法》有关标准要求。</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市、区财政负担。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有需求且具备条件的</w:t>
            </w:r>
            <w:r>
              <w:rPr>
                <w:rFonts w:eastAsia="仿宋_GB2312"/>
                <w:kern w:val="0"/>
                <w:sz w:val="24"/>
              </w:rPr>
              <w:t>100%</w:t>
            </w:r>
            <w:r>
              <w:rPr>
                <w:rFonts w:eastAsia="仿宋_GB2312" w:hint="eastAsia"/>
                <w:kern w:val="0"/>
                <w:sz w:val="24"/>
              </w:rPr>
              <w:t>改造</w:t>
            </w:r>
          </w:p>
        </w:tc>
      </w:tr>
      <w:tr w:rsidR="002C2F4D">
        <w:trPr>
          <w:cantSplit/>
          <w:trHeight w:val="454"/>
          <w:jc w:val="center"/>
        </w:trPr>
        <w:tc>
          <w:tcPr>
            <w:tcW w:w="1433" w:type="dxa"/>
            <w:vAlign w:val="center"/>
          </w:tcPr>
          <w:p w:rsidR="002C2F4D" w:rsidRDefault="00061D81">
            <w:pPr>
              <w:adjustRightInd w:val="0"/>
              <w:snapToGrid w:val="0"/>
              <w:rPr>
                <w:rFonts w:eastAsia="仿宋_GB2312"/>
                <w:kern w:val="0"/>
                <w:sz w:val="24"/>
              </w:rPr>
            </w:pPr>
            <w:r>
              <w:rPr>
                <w:rFonts w:eastAsia="仿宋_GB2312" w:hint="eastAsia"/>
                <w:kern w:val="0"/>
                <w:sz w:val="24"/>
              </w:rPr>
              <w:t>残疾人托养服务</w:t>
            </w:r>
          </w:p>
        </w:tc>
        <w:tc>
          <w:tcPr>
            <w:tcW w:w="2331" w:type="dxa"/>
            <w:vAlign w:val="center"/>
          </w:tcPr>
          <w:p w:rsidR="002C2F4D" w:rsidRDefault="00061D81">
            <w:pPr>
              <w:adjustRightInd w:val="0"/>
              <w:snapToGrid w:val="0"/>
              <w:rPr>
                <w:rFonts w:eastAsia="仿宋_GB2312"/>
                <w:kern w:val="0"/>
                <w:sz w:val="24"/>
              </w:rPr>
            </w:pPr>
            <w:r>
              <w:rPr>
                <w:rFonts w:eastAsia="仿宋_GB2312" w:hint="eastAsia"/>
                <w:kern w:val="0"/>
                <w:sz w:val="24"/>
              </w:rPr>
              <w:t>具有本市户籍的、持有合法有效的残疾人证的残疾人，经区残联审核确定，</w:t>
            </w:r>
            <w:r>
              <w:rPr>
                <w:rFonts w:eastAsia="仿宋_GB2312"/>
                <w:kern w:val="0"/>
                <w:sz w:val="24"/>
              </w:rPr>
              <w:t>60</w:t>
            </w:r>
            <w:r>
              <w:rPr>
                <w:rFonts w:eastAsia="仿宋_GB2312" w:hint="eastAsia"/>
                <w:kern w:val="0"/>
                <w:sz w:val="24"/>
              </w:rPr>
              <w:t>岁以下未就业、未入学的智力残疾、精神（病情稳定）残疾人和其他类别的重度残疾人（一、二级）</w:t>
            </w:r>
          </w:p>
        </w:tc>
        <w:tc>
          <w:tcPr>
            <w:tcW w:w="2778" w:type="dxa"/>
            <w:vAlign w:val="center"/>
          </w:tcPr>
          <w:p w:rsidR="002C2F4D" w:rsidRDefault="00061D81">
            <w:pPr>
              <w:adjustRightInd w:val="0"/>
              <w:snapToGrid w:val="0"/>
              <w:rPr>
                <w:rFonts w:eastAsia="仿宋_GB2312"/>
                <w:kern w:val="0"/>
                <w:sz w:val="24"/>
              </w:rPr>
            </w:pPr>
            <w:r>
              <w:rPr>
                <w:rFonts w:eastAsia="仿宋_GB2312" w:hint="eastAsia"/>
                <w:kern w:val="0"/>
                <w:sz w:val="24"/>
              </w:rPr>
              <w:t>居家：每人每月</w:t>
            </w:r>
            <w:r>
              <w:rPr>
                <w:rFonts w:eastAsia="仿宋_GB2312"/>
                <w:kern w:val="0"/>
                <w:sz w:val="24"/>
              </w:rPr>
              <w:t>200</w:t>
            </w:r>
            <w:r>
              <w:rPr>
                <w:rFonts w:eastAsia="仿宋_GB2312" w:hint="eastAsia"/>
                <w:kern w:val="0"/>
                <w:sz w:val="24"/>
              </w:rPr>
              <w:t>元；日间照料：每人每月</w:t>
            </w:r>
            <w:r>
              <w:rPr>
                <w:rFonts w:eastAsia="仿宋_GB2312"/>
                <w:kern w:val="0"/>
                <w:sz w:val="24"/>
              </w:rPr>
              <w:t>210</w:t>
            </w:r>
            <w:r>
              <w:rPr>
                <w:rFonts w:eastAsia="仿宋_GB2312" w:hint="eastAsia"/>
                <w:kern w:val="0"/>
                <w:sz w:val="24"/>
              </w:rPr>
              <w:t>元；寄宿：非低保、低收入每人每月</w:t>
            </w:r>
            <w:r>
              <w:rPr>
                <w:rFonts w:eastAsia="仿宋_GB2312" w:hint="eastAsia"/>
                <w:kern w:val="0"/>
                <w:sz w:val="24"/>
              </w:rPr>
              <w:t>350</w:t>
            </w:r>
            <w:r>
              <w:rPr>
                <w:rFonts w:eastAsia="仿宋_GB2312" w:hint="eastAsia"/>
                <w:kern w:val="0"/>
                <w:sz w:val="24"/>
              </w:rPr>
              <w:t>元，低保、低收入每人每月</w:t>
            </w:r>
            <w:r>
              <w:rPr>
                <w:rFonts w:eastAsia="仿宋_GB2312" w:hint="eastAsia"/>
                <w:kern w:val="0"/>
                <w:sz w:val="24"/>
              </w:rPr>
              <w:t>560</w:t>
            </w:r>
            <w:r>
              <w:rPr>
                <w:rFonts w:eastAsia="仿宋_GB2312" w:hint="eastAsia"/>
                <w:kern w:val="0"/>
                <w:sz w:val="24"/>
              </w:rPr>
              <w:t>元。</w:t>
            </w:r>
          </w:p>
        </w:tc>
        <w:tc>
          <w:tcPr>
            <w:tcW w:w="1812" w:type="dxa"/>
            <w:vAlign w:val="center"/>
          </w:tcPr>
          <w:p w:rsidR="002C2F4D" w:rsidRDefault="00061D81">
            <w:pPr>
              <w:adjustRightInd w:val="0"/>
              <w:snapToGrid w:val="0"/>
              <w:rPr>
                <w:rFonts w:eastAsia="仿宋_GB2312"/>
                <w:kern w:val="0"/>
                <w:sz w:val="24"/>
              </w:rPr>
            </w:pPr>
            <w:r>
              <w:rPr>
                <w:rFonts w:eastAsia="仿宋_GB2312" w:hint="eastAsia"/>
                <w:kern w:val="0"/>
                <w:sz w:val="24"/>
              </w:rPr>
              <w:t>市、区财政按</w:t>
            </w:r>
          </w:p>
          <w:p w:rsidR="002C2F4D" w:rsidRDefault="00061D81">
            <w:pPr>
              <w:adjustRightInd w:val="0"/>
              <w:snapToGrid w:val="0"/>
              <w:rPr>
                <w:rFonts w:eastAsia="仿宋_GB2312"/>
                <w:kern w:val="0"/>
                <w:sz w:val="24"/>
              </w:rPr>
            </w:pPr>
            <w:r>
              <w:rPr>
                <w:rFonts w:eastAsia="仿宋_GB2312"/>
                <w:kern w:val="0"/>
                <w:sz w:val="24"/>
              </w:rPr>
              <w:t>6</w:t>
            </w:r>
            <w:r>
              <w:rPr>
                <w:rFonts w:ascii="宋体" w:hAnsi="宋体" w:cs="宋体" w:hint="eastAsia"/>
                <w:sz w:val="24"/>
              </w:rPr>
              <w:t>︰</w:t>
            </w:r>
            <w:r>
              <w:rPr>
                <w:rFonts w:eastAsia="仿宋_GB2312"/>
                <w:kern w:val="0"/>
                <w:sz w:val="24"/>
              </w:rPr>
              <w:t>4</w:t>
            </w:r>
            <w:r>
              <w:rPr>
                <w:rFonts w:eastAsia="仿宋_GB2312" w:hint="eastAsia"/>
                <w:kern w:val="0"/>
                <w:sz w:val="24"/>
              </w:rPr>
              <w:t>比例负担。</w:t>
            </w:r>
          </w:p>
        </w:tc>
        <w:tc>
          <w:tcPr>
            <w:tcW w:w="1638" w:type="dxa"/>
            <w:vAlign w:val="center"/>
          </w:tcPr>
          <w:p w:rsidR="002C2F4D" w:rsidRDefault="00061D81">
            <w:pPr>
              <w:adjustRightInd w:val="0"/>
              <w:snapToGrid w:val="0"/>
              <w:rPr>
                <w:rFonts w:eastAsia="仿宋_GB2312"/>
                <w:kern w:val="0"/>
                <w:sz w:val="24"/>
              </w:rPr>
            </w:pPr>
            <w:r>
              <w:rPr>
                <w:rFonts w:eastAsia="仿宋_GB2312" w:hint="eastAsia"/>
                <w:kern w:val="0"/>
                <w:sz w:val="24"/>
              </w:rPr>
              <w:t>有需求且符合条件的</w:t>
            </w:r>
            <w:r>
              <w:rPr>
                <w:rFonts w:eastAsia="仿宋_GB2312"/>
                <w:kern w:val="0"/>
                <w:sz w:val="24"/>
              </w:rPr>
              <w:t>100%</w:t>
            </w:r>
            <w:r>
              <w:rPr>
                <w:rFonts w:eastAsia="仿宋_GB2312" w:hint="eastAsia"/>
                <w:kern w:val="0"/>
                <w:sz w:val="24"/>
              </w:rPr>
              <w:t>覆盖</w:t>
            </w:r>
          </w:p>
        </w:tc>
      </w:tr>
    </w:tbl>
    <w:p w:rsidR="002C2F4D" w:rsidRDefault="002C2F4D">
      <w:pPr>
        <w:pStyle w:val="3"/>
        <w:keepNext w:val="0"/>
        <w:keepLines w:val="0"/>
        <w:adjustRightInd w:val="0"/>
        <w:snapToGrid w:val="0"/>
        <w:spacing w:before="0" w:after="0" w:line="240" w:lineRule="auto"/>
        <w:jc w:val="center"/>
        <w:rPr>
          <w:b w:val="0"/>
          <w:bCs w:val="0"/>
        </w:rPr>
      </w:pPr>
      <w:bookmarkStart w:id="53" w:name="_Toc65837415"/>
    </w:p>
    <w:p w:rsidR="002C2F4D" w:rsidRDefault="00061D81">
      <w:pPr>
        <w:pStyle w:val="3"/>
        <w:keepNext w:val="0"/>
        <w:keepLines w:val="0"/>
        <w:adjustRightInd w:val="0"/>
        <w:spacing w:before="0" w:after="0" w:line="240" w:lineRule="auto"/>
        <w:jc w:val="center"/>
        <w:rPr>
          <w:rFonts w:ascii="黑体" w:eastAsia="黑体" w:hAnsi="黑体" w:cs="黑体"/>
          <w:b w:val="0"/>
          <w:bCs w:val="0"/>
        </w:rPr>
      </w:pPr>
      <w:r>
        <w:rPr>
          <w:rFonts w:ascii="黑体" w:eastAsia="黑体" w:hAnsi="黑体" w:cs="黑体" w:hint="eastAsia"/>
          <w:b w:val="0"/>
          <w:bCs w:val="0"/>
        </w:rPr>
        <w:t>第三节</w:t>
      </w:r>
      <w:r>
        <w:rPr>
          <w:rFonts w:ascii="黑体" w:eastAsia="黑体" w:hAnsi="黑体" w:cs="黑体"/>
          <w:b w:val="0"/>
          <w:bCs w:val="0"/>
        </w:rPr>
        <w:t xml:space="preserve"> </w:t>
      </w:r>
      <w:r>
        <w:rPr>
          <w:rFonts w:ascii="黑体" w:eastAsia="黑体" w:hAnsi="黑体" w:cs="黑体" w:hint="eastAsia"/>
          <w:b w:val="0"/>
          <w:bCs w:val="0"/>
        </w:rPr>
        <w:t xml:space="preserve"> </w:t>
      </w:r>
      <w:r>
        <w:rPr>
          <w:rFonts w:ascii="黑体" w:eastAsia="黑体" w:hAnsi="黑体" w:cs="黑体" w:hint="eastAsia"/>
          <w:b w:val="0"/>
          <w:bCs w:val="0"/>
        </w:rPr>
        <w:t>保障工程</w:t>
      </w:r>
      <w:bookmarkEnd w:id="53"/>
    </w:p>
    <w:p w:rsidR="002C2F4D" w:rsidRDefault="002C2F4D">
      <w:pPr>
        <w:adjustRightInd w:val="0"/>
        <w:rPr>
          <w:sz w:val="32"/>
          <w:szCs w:val="32"/>
        </w:rPr>
      </w:pPr>
    </w:p>
    <w:p w:rsidR="002C2F4D" w:rsidRDefault="00061D81" w:rsidP="00FA6DB5">
      <w:pPr>
        <w:adjustRightInd w:val="0"/>
        <w:ind w:firstLineChars="200" w:firstLine="622"/>
        <w:rPr>
          <w:rFonts w:ascii="仿宋_GB2312" w:eastAsia="仿宋_GB2312"/>
          <w:b/>
          <w:bCs/>
          <w:kern w:val="0"/>
          <w:sz w:val="32"/>
          <w:szCs w:val="32"/>
        </w:rPr>
      </w:pPr>
      <w:r>
        <w:rPr>
          <w:rFonts w:ascii="楷体_GB2312" w:eastAsia="楷体_GB2312" w:hAnsi="楷体_GB2312" w:cs="楷体_GB2312" w:hint="eastAsia"/>
          <w:kern w:val="0"/>
          <w:sz w:val="32"/>
          <w:szCs w:val="32"/>
        </w:rPr>
        <w:t>扩建市残疾人康复服务指导中心。</w:t>
      </w:r>
      <w:r>
        <w:rPr>
          <w:rFonts w:ascii="仿宋_GB2312" w:eastAsia="仿宋_GB2312" w:hint="eastAsia"/>
          <w:bCs/>
          <w:kern w:val="0"/>
          <w:sz w:val="32"/>
          <w:szCs w:val="32"/>
        </w:rPr>
        <w:t>根据《残疾人康复机构建设标准》（建标</w:t>
      </w:r>
      <w:r>
        <w:rPr>
          <w:rFonts w:eastAsia="仿宋_GB2312"/>
          <w:bCs/>
          <w:kern w:val="0"/>
          <w:sz w:val="32"/>
          <w:szCs w:val="32"/>
        </w:rPr>
        <w:t>165</w:t>
      </w:r>
      <w:r>
        <w:rPr>
          <w:rFonts w:ascii="仿宋_GB2312" w:eastAsia="仿宋_GB2312" w:hAnsi="仿宋_GB2312" w:cs="仿宋_GB2312" w:hint="eastAsia"/>
          <w:bCs/>
          <w:kern w:val="0"/>
          <w:sz w:val="32"/>
          <w:szCs w:val="32"/>
        </w:rPr>
        <w:t>—</w:t>
      </w:r>
      <w:r>
        <w:rPr>
          <w:rFonts w:eastAsia="仿宋_GB2312"/>
          <w:bCs/>
          <w:kern w:val="0"/>
          <w:sz w:val="32"/>
          <w:szCs w:val="32"/>
        </w:rPr>
        <w:t>2013</w:t>
      </w:r>
      <w:r>
        <w:rPr>
          <w:rFonts w:ascii="仿宋_GB2312" w:eastAsia="仿宋_GB2312" w:hint="eastAsia"/>
          <w:bCs/>
          <w:kern w:val="0"/>
          <w:sz w:val="32"/>
          <w:szCs w:val="32"/>
        </w:rPr>
        <w:t>），考虑残疾人出入、公共交通服务便利性，在城区或近郊区选择与医疗、教育等社会公共服务设施临近的地段，建设集康复、医疗、教育、研究、培训于一体的标准化、规范化、示范性的市残疾人康复服务指导中心。</w:t>
      </w:r>
    </w:p>
    <w:p w:rsidR="002C2F4D" w:rsidRDefault="00061D81" w:rsidP="00FA6DB5">
      <w:pPr>
        <w:adjustRightInd w:val="0"/>
        <w:ind w:firstLineChars="200" w:firstLine="622"/>
        <w:rPr>
          <w:rFonts w:ascii="仿宋_GB2312" w:eastAsia="仿宋_GB2312"/>
          <w:kern w:val="0"/>
          <w:sz w:val="32"/>
          <w:szCs w:val="32"/>
        </w:rPr>
      </w:pPr>
      <w:r>
        <w:rPr>
          <w:rFonts w:ascii="楷体_GB2312" w:eastAsia="楷体_GB2312" w:hAnsi="楷体_GB2312" w:cs="楷体_GB2312" w:hint="eastAsia"/>
          <w:kern w:val="0"/>
          <w:sz w:val="32"/>
          <w:szCs w:val="32"/>
        </w:rPr>
        <w:t>实施残疾人教育培训和就业服务提升行动。</w:t>
      </w:r>
      <w:r>
        <w:rPr>
          <w:rFonts w:ascii="仿宋_GB2312" w:eastAsia="仿宋_GB2312" w:hint="eastAsia"/>
          <w:kern w:val="0"/>
          <w:sz w:val="32"/>
          <w:szCs w:val="32"/>
        </w:rPr>
        <w:t>实施第三期特殊教育提升计划，提高特殊教育质量。增强特殊教育保障能力，加强无障碍设施建设。支持各类职业院校、应用型本科院校与有条件的特殊教育学校合作举办适合残疾人就业的专业及实训平台。</w:t>
      </w:r>
      <w:r>
        <w:rPr>
          <w:rFonts w:ascii="仿宋_GB2312" w:eastAsia="仿宋_GB2312" w:hint="eastAsia"/>
          <w:sz w:val="32"/>
          <w:szCs w:val="32"/>
        </w:rPr>
        <w:t>搭建残疾人集中就业信息平台，</w:t>
      </w:r>
      <w:r>
        <w:rPr>
          <w:rFonts w:ascii="仿宋_GB2312" w:eastAsia="仿宋_GB2312" w:hint="eastAsia"/>
          <w:kern w:val="0"/>
          <w:sz w:val="32"/>
          <w:szCs w:val="32"/>
        </w:rPr>
        <w:t>提升残疾人就业服务水平。建立数据交换机制，为用人单位提供按比例安排残疾人就业审核网络申报服务。税务部门依据残联组织核定的用人单位安排残疾人就业人数，按规定为用人单位减免残疾人就业保障金。完善落实促进残疾人就业的补贴奖励政策，对“残疾人阳光工场”正常运营给予扶持补贴。</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kern w:val="0"/>
          <w:sz w:val="32"/>
          <w:szCs w:val="32"/>
        </w:rPr>
        <w:t>实施残疾人文化体育服务建设工程。</w:t>
      </w:r>
      <w:r>
        <w:rPr>
          <w:rFonts w:ascii="仿宋_GB2312" w:eastAsia="仿宋_GB2312" w:hint="eastAsia"/>
          <w:sz w:val="32"/>
          <w:szCs w:val="32"/>
        </w:rPr>
        <w:t>在办好天津海河传媒中心已有的残疾人专题节目的基础</w:t>
      </w:r>
      <w:r>
        <w:rPr>
          <w:rFonts w:ascii="仿宋_GB2312" w:eastAsia="仿宋_GB2312" w:hint="eastAsia"/>
          <w:sz w:val="32"/>
          <w:szCs w:val="32"/>
        </w:rPr>
        <w:t>上</w:t>
      </w:r>
      <w:r>
        <w:rPr>
          <w:rFonts w:ascii="仿宋_GB2312" w:eastAsia="仿宋_GB2312" w:hint="eastAsia"/>
          <w:sz w:val="32"/>
          <w:szCs w:val="32"/>
        </w:rPr>
        <w:t>，</w:t>
      </w:r>
      <w:r>
        <w:rPr>
          <w:rFonts w:ascii="仿宋_GB2312" w:eastAsia="仿宋_GB2312" w:hint="eastAsia"/>
          <w:sz w:val="32"/>
          <w:szCs w:val="32"/>
        </w:rPr>
        <w:t>继</w:t>
      </w:r>
      <w:r>
        <w:rPr>
          <w:rFonts w:ascii="仿宋_GB2312" w:eastAsia="仿宋_GB2312" w:hint="eastAsia"/>
          <w:sz w:val="32"/>
          <w:szCs w:val="32"/>
        </w:rPr>
        <w:t>续推动开设手语新闻栏目。市级公共图书馆及有条件的区级公共图书馆全部建立盲人阅览区域，配备盲文图书及有关阅读设备。广泛开展“全国残疾人文化周”活动，组织参加全国</w:t>
      </w:r>
      <w:r>
        <w:rPr>
          <w:rFonts w:ascii="仿宋_GB2312" w:eastAsia="仿宋_GB2312" w:hint="eastAsia"/>
          <w:sz w:val="32"/>
          <w:szCs w:val="32"/>
        </w:rPr>
        <w:t>残疾人艺术汇演。继续实施“自强健身工程”和“康复体育关爱工程”。组织本市残疾人运动员参加全国残运会暨特奥会。组织开展残疾人冰雪嘉年华和残健融合大众冰雪健身特色活动。</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kern w:val="0"/>
          <w:sz w:val="32"/>
          <w:szCs w:val="32"/>
        </w:rPr>
        <w:t>推进信息无障碍建设。</w:t>
      </w:r>
      <w:r>
        <w:rPr>
          <w:rFonts w:ascii="仿宋_GB2312" w:eastAsia="仿宋_GB2312" w:hint="eastAsia"/>
          <w:sz w:val="32"/>
          <w:szCs w:val="32"/>
        </w:rPr>
        <w:t>加快政府门户网站、公共服务网站无障碍改造。推动新闻资讯、网络购物、金融服务、市政服务、医疗健康、旅游出行、学习教育、文化休闲等领域移动互联网应用的无障碍改造。推进医院自主就医设备、银行</w:t>
      </w:r>
      <w:r>
        <w:rPr>
          <w:rFonts w:eastAsia="仿宋_GB2312"/>
          <w:sz w:val="32"/>
          <w:szCs w:val="32"/>
        </w:rPr>
        <w:t>ATM</w:t>
      </w:r>
      <w:r>
        <w:rPr>
          <w:rFonts w:ascii="仿宋_GB2312" w:eastAsia="仿宋_GB2312" w:hint="eastAsia"/>
          <w:sz w:val="32"/>
          <w:szCs w:val="32"/>
        </w:rPr>
        <w:t>机、地铁自助检票设备等自助公共服务设备的无障碍改造。公共新闻发布会配备手语翻译，政务服务大厅和交通、医疗等公共服务场所为残疾人提供相关服</w:t>
      </w:r>
      <w:r>
        <w:rPr>
          <w:rFonts w:ascii="仿宋_GB2312" w:eastAsia="仿宋_GB2312" w:hint="eastAsia"/>
          <w:sz w:val="32"/>
          <w:szCs w:val="32"/>
        </w:rPr>
        <w:t>务。</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kern w:val="0"/>
          <w:sz w:val="32"/>
          <w:szCs w:val="32"/>
        </w:rPr>
        <w:t>推动农村助残帮扶基地建设。</w:t>
      </w:r>
      <w:r>
        <w:rPr>
          <w:rFonts w:ascii="仿宋_GB2312" w:eastAsia="仿宋_GB2312" w:hint="eastAsia"/>
          <w:sz w:val="32"/>
          <w:szCs w:val="32"/>
        </w:rPr>
        <w:t>加强农村残疾人服务，促进农村困难残疾人家庭就业增收，通过建设一批农村助残帮扶基地，推动残疾人事业和乡村振兴融合发展。</w:t>
      </w:r>
    </w:p>
    <w:p w:rsidR="002C2F4D" w:rsidRDefault="00061D81" w:rsidP="00FA6DB5">
      <w:pPr>
        <w:adjustRightInd w:val="0"/>
        <w:ind w:firstLineChars="200" w:firstLine="622"/>
        <w:jc w:val="left"/>
        <w:rPr>
          <w:rFonts w:ascii="仿宋_GB2312" w:eastAsia="仿宋_GB2312"/>
          <w:kern w:val="0"/>
          <w:sz w:val="32"/>
          <w:szCs w:val="32"/>
        </w:rPr>
      </w:pPr>
      <w:r>
        <w:rPr>
          <w:rFonts w:ascii="楷体_GB2312" w:eastAsia="楷体_GB2312" w:hAnsi="楷体_GB2312" w:cs="楷体_GB2312" w:hint="eastAsia"/>
          <w:kern w:val="0"/>
          <w:sz w:val="32"/>
          <w:szCs w:val="32"/>
        </w:rPr>
        <w:t>开展志愿助残服务和社会组织服务活动。</w:t>
      </w:r>
      <w:r>
        <w:rPr>
          <w:rFonts w:ascii="仿宋_GB2312" w:eastAsia="仿宋_GB2312" w:hint="eastAsia"/>
          <w:sz w:val="32"/>
          <w:szCs w:val="32"/>
        </w:rPr>
        <w:t>通过政府购买服务方式搭建志愿者、残疾人和助残服务项目的对接平台，实施</w:t>
      </w:r>
      <w:r>
        <w:rPr>
          <w:rFonts w:eastAsia="仿宋_GB2312"/>
          <w:sz w:val="32"/>
          <w:szCs w:val="32"/>
        </w:rPr>
        <w:t>50</w:t>
      </w:r>
      <w:r>
        <w:rPr>
          <w:rFonts w:ascii="仿宋_GB2312" w:eastAsia="仿宋_GB2312" w:hint="eastAsia"/>
          <w:sz w:val="32"/>
          <w:szCs w:val="32"/>
        </w:rPr>
        <w:t>个志愿助残服务示范项目。深入推进青年志愿者助残“阳光行动”，进一步加强与助残社会组织的协调沟通。</w:t>
      </w:r>
      <w:bookmarkStart w:id="54" w:name="_Toc65837416"/>
      <w:bookmarkEnd w:id="32"/>
      <w:bookmarkEnd w:id="33"/>
      <w:bookmarkEnd w:id="34"/>
    </w:p>
    <w:p w:rsidR="002C2F4D" w:rsidRDefault="002C2F4D">
      <w:pPr>
        <w:adjustRightInd w:val="0"/>
        <w:jc w:val="center"/>
        <w:outlineLvl w:val="0"/>
        <w:rPr>
          <w:rFonts w:ascii="仿宋_GB2312" w:eastAsia="仿宋_GB2312"/>
          <w:kern w:val="0"/>
          <w:sz w:val="32"/>
          <w:szCs w:val="32"/>
        </w:rPr>
      </w:pPr>
    </w:p>
    <w:p w:rsidR="002C2F4D" w:rsidRDefault="00061D81">
      <w:pPr>
        <w:adjustRightInd w:val="0"/>
        <w:jc w:val="center"/>
        <w:outlineLvl w:val="0"/>
        <w:rPr>
          <w:rFonts w:ascii="方正小标宋_GBK" w:eastAsia="方正小标宋_GBK" w:hAnsi="方正小标宋_GBK" w:cs="方正小标宋_GBK"/>
          <w:bCs/>
          <w:kern w:val="0"/>
          <w:sz w:val="32"/>
          <w:szCs w:val="32"/>
        </w:rPr>
      </w:pPr>
      <w:r>
        <w:rPr>
          <w:rFonts w:ascii="方正小标宋_GBK" w:eastAsia="方正小标宋_GBK" w:hAnsi="方正小标宋_GBK" w:cs="方正小标宋_GBK" w:hint="eastAsia"/>
          <w:bCs/>
          <w:kern w:val="0"/>
          <w:sz w:val="32"/>
          <w:szCs w:val="32"/>
        </w:rPr>
        <w:t>第十章</w:t>
      </w:r>
      <w:r>
        <w:rPr>
          <w:rFonts w:ascii="方正小标宋_GBK" w:eastAsia="方正小标宋_GBK" w:hAnsi="方正小标宋_GBK" w:cs="方正小标宋_GBK" w:hint="eastAsia"/>
          <w:bCs/>
          <w:kern w:val="0"/>
          <w:sz w:val="32"/>
          <w:szCs w:val="32"/>
        </w:rPr>
        <w:t xml:space="preserve">  </w:t>
      </w:r>
      <w:r>
        <w:rPr>
          <w:rFonts w:ascii="方正小标宋_GBK" w:eastAsia="方正小标宋_GBK" w:hAnsi="方正小标宋_GBK" w:cs="方正小标宋_GBK" w:hint="eastAsia"/>
          <w:bCs/>
          <w:kern w:val="0"/>
          <w:sz w:val="32"/>
          <w:szCs w:val="32"/>
        </w:rPr>
        <w:t>强化规划实施保障</w:t>
      </w:r>
      <w:bookmarkEnd w:id="54"/>
    </w:p>
    <w:p w:rsidR="002C2F4D" w:rsidRDefault="002C2F4D">
      <w:pPr>
        <w:pStyle w:val="3"/>
        <w:keepNext w:val="0"/>
        <w:keepLines w:val="0"/>
        <w:adjustRightInd w:val="0"/>
        <w:spacing w:before="0" w:after="0" w:line="240" w:lineRule="auto"/>
        <w:jc w:val="center"/>
      </w:pPr>
      <w:bookmarkStart w:id="55" w:name="_Toc65837417"/>
    </w:p>
    <w:bookmarkEnd w:id="55"/>
    <w:p w:rsidR="002C2F4D" w:rsidRDefault="00061D81" w:rsidP="00FA6DB5">
      <w:pPr>
        <w:widowControl/>
        <w:ind w:firstLineChars="200" w:firstLine="622"/>
        <w:rPr>
          <w:rFonts w:ascii="仿宋_GB2312" w:eastAsia="仿宋_GB2312"/>
          <w:sz w:val="32"/>
          <w:szCs w:val="32"/>
        </w:rPr>
      </w:pPr>
      <w:r>
        <w:rPr>
          <w:rFonts w:ascii="楷体_GB2312" w:eastAsia="楷体_GB2312" w:hAnsi="楷体_GB2312" w:cs="楷体_GB2312" w:hint="eastAsia"/>
          <w:sz w:val="32"/>
          <w:szCs w:val="32"/>
        </w:rPr>
        <w:t>落实主体责任。</w:t>
      </w:r>
      <w:r>
        <w:rPr>
          <w:rFonts w:ascii="仿宋_GB2312" w:eastAsia="仿宋_GB2312" w:hint="eastAsia"/>
          <w:sz w:val="32"/>
          <w:szCs w:val="32"/>
        </w:rPr>
        <w:t>各有关部门和各区人民政府承担规划落实主体责任，建立规划落实工作的协调和实施机制，健全完善规划的实施机制。实行规</w:t>
      </w:r>
      <w:r>
        <w:rPr>
          <w:rFonts w:ascii="仿宋_GB2312" w:eastAsia="仿宋_GB2312" w:hint="eastAsia"/>
          <w:sz w:val="32"/>
          <w:szCs w:val="32"/>
        </w:rPr>
        <w:t>划目录清单管理，分解各项重点任务和服务项目，明确工作进度和完成时限，有序推进落实。</w:t>
      </w:r>
    </w:p>
    <w:p w:rsidR="002C2F4D" w:rsidRDefault="00061D81" w:rsidP="00FA6DB5">
      <w:pPr>
        <w:adjustRightInd w:val="0"/>
        <w:ind w:firstLineChars="200" w:firstLine="622"/>
        <w:rPr>
          <w:rFonts w:ascii="仿宋_GB2312" w:eastAsia="仿宋_GB2312" w:hAnsi="仿宋" w:cs="仿宋"/>
          <w:sz w:val="32"/>
          <w:szCs w:val="32"/>
        </w:rPr>
      </w:pPr>
      <w:r>
        <w:rPr>
          <w:rFonts w:ascii="楷体_GB2312" w:eastAsia="楷体_GB2312" w:hAnsi="楷体_GB2312" w:cs="楷体_GB2312" w:hint="eastAsia"/>
          <w:sz w:val="32"/>
          <w:szCs w:val="32"/>
        </w:rPr>
        <w:t>加大财力保障。</w:t>
      </w:r>
      <w:r>
        <w:rPr>
          <w:rFonts w:ascii="仿宋_GB2312" w:eastAsia="仿宋_GB2312" w:hAnsi="宋体" w:cs="宋体" w:hint="eastAsia"/>
          <w:sz w:val="32"/>
          <w:szCs w:val="32"/>
        </w:rPr>
        <w:t>构建多元化的公共服务供给模式，推动形成政府、市场、社会多元主体参与公共服务供给的格局。注重发挥市场机制作用，鼓励和引导社会力量、民营资本参与基本公共服务供给，积极规范运用政府与社会资本合作（</w:t>
      </w:r>
      <w:r>
        <w:rPr>
          <w:rFonts w:eastAsia="仿宋_GB2312"/>
          <w:sz w:val="32"/>
          <w:szCs w:val="32"/>
        </w:rPr>
        <w:t>PPP</w:t>
      </w:r>
      <w:r>
        <w:rPr>
          <w:rFonts w:eastAsia="仿宋_GB2312" w:hint="eastAsia"/>
          <w:sz w:val="32"/>
          <w:szCs w:val="32"/>
        </w:rPr>
        <w:t>）</w:t>
      </w:r>
      <w:r>
        <w:rPr>
          <w:rFonts w:ascii="仿宋_GB2312" w:eastAsia="仿宋_GB2312" w:hAnsi="宋体" w:cs="宋体" w:hint="eastAsia"/>
          <w:sz w:val="32"/>
          <w:szCs w:val="32"/>
        </w:rPr>
        <w:t>模式，引导社会资本积极参与文化、医疗、养老等领域</w:t>
      </w:r>
      <w:r>
        <w:rPr>
          <w:rFonts w:eastAsia="仿宋_GB2312"/>
          <w:sz w:val="32"/>
          <w:szCs w:val="32"/>
        </w:rPr>
        <w:t>PPP</w:t>
      </w:r>
      <w:r>
        <w:rPr>
          <w:rFonts w:ascii="仿宋_GB2312" w:eastAsia="仿宋_GB2312" w:hAnsi="宋体" w:cs="宋体" w:hint="eastAsia"/>
          <w:sz w:val="32"/>
          <w:szCs w:val="32"/>
        </w:rPr>
        <w:t>项目，推动公共服务提质增效。推进政府购买公共服务制度建设，规范操作流程，增强公开化、透明化。健全政府投入持续稳定增长机制，优先保障市级基本标准落实到位。财政投入要紧贴实际情况，建立分类投入机制，将财政资金真正用于补足短板上，提升财政支持效益。</w:t>
      </w:r>
    </w:p>
    <w:p w:rsidR="002C2F4D" w:rsidRDefault="00061D81">
      <w:pPr>
        <w:adjustRightInd w:val="0"/>
        <w:ind w:firstLine="560"/>
        <w:rPr>
          <w:rFonts w:ascii="仿宋_GB2312" w:eastAsia="仿宋_GB2312" w:hAnsi="仿宋" w:cs="仿宋"/>
          <w:sz w:val="32"/>
          <w:szCs w:val="32"/>
        </w:rPr>
      </w:pPr>
      <w:r>
        <w:rPr>
          <w:rFonts w:ascii="楷体_GB2312" w:eastAsia="楷体_GB2312" w:hAnsi="楷体_GB2312" w:cs="楷体_GB2312" w:hint="eastAsia"/>
          <w:sz w:val="32"/>
          <w:szCs w:val="32"/>
        </w:rPr>
        <w:t>强化科技支撑。</w:t>
      </w:r>
      <w:r>
        <w:rPr>
          <w:rFonts w:ascii="仿宋_GB2312" w:eastAsia="仿宋_GB2312" w:hAnsi="仿宋" w:cs="仿宋" w:hint="eastAsia"/>
          <w:sz w:val="32"/>
          <w:szCs w:val="32"/>
        </w:rPr>
        <w:t>加快基本公共服务大数据平台建设，构建基于公共服务数据开放共享平台的决策支持系统，加强政务信息资源整合和公共需求精准预测。坚持传统服务方式与智能化服务创新并行，切实解决老年人等特殊群众在运用智能技术方面遇到的困难。运用大数据等现代信息技术建立困难群众主动发</w:t>
      </w:r>
      <w:r>
        <w:rPr>
          <w:rFonts w:ascii="仿宋_GB2312" w:eastAsia="仿宋_GB2312" w:hAnsi="仿宋" w:cs="仿宋" w:hint="eastAsia"/>
          <w:sz w:val="32"/>
          <w:szCs w:val="32"/>
        </w:rPr>
        <w:t>现动态调整机制，确保符合条件的困难群众及时得到救助。</w:t>
      </w:r>
    </w:p>
    <w:p w:rsidR="002C2F4D" w:rsidRDefault="00061D81" w:rsidP="00FA6DB5">
      <w:pPr>
        <w:adjustRightInd w:val="0"/>
        <w:ind w:firstLineChars="200" w:firstLine="622"/>
        <w:rPr>
          <w:rFonts w:ascii="仿宋_GB2312" w:eastAsia="仿宋_GB2312"/>
          <w:sz w:val="32"/>
          <w:szCs w:val="32"/>
        </w:rPr>
      </w:pPr>
      <w:r>
        <w:rPr>
          <w:rFonts w:ascii="楷体_GB2312" w:eastAsia="楷体_GB2312" w:hAnsi="楷体_GB2312" w:cs="楷体_GB2312" w:hint="eastAsia"/>
          <w:sz w:val="32"/>
          <w:szCs w:val="32"/>
        </w:rPr>
        <w:t>加强人才培养</w:t>
      </w:r>
      <w:r>
        <w:rPr>
          <w:rFonts w:hint="eastAsia"/>
          <w:sz w:val="32"/>
          <w:szCs w:val="32"/>
        </w:rPr>
        <w:t>。</w:t>
      </w:r>
      <w:r>
        <w:rPr>
          <w:rFonts w:ascii="仿宋_GB2312" w:eastAsia="仿宋_GB2312" w:hint="eastAsia"/>
          <w:sz w:val="32"/>
          <w:szCs w:val="32"/>
        </w:rPr>
        <w:t>持续加强教育、卫生、文化、体育、养老、助残等领域的专业人才培养和重大人才引进，提升基本公共服务体系的整体服务水平。加强与在津高校合作，加大订单式培养人才规模。鼓励人才合理流动，增强人才与岗位的匹配度。制定合理规范的人员薪酬激励制度，合理体现劳动者市场价值，吸引更多优秀人才进入基本公共服务体系。</w:t>
      </w:r>
    </w:p>
    <w:p w:rsidR="002C2F4D" w:rsidRDefault="00061D81" w:rsidP="00FA6DB5">
      <w:pPr>
        <w:pStyle w:val="a3"/>
        <w:ind w:firstLineChars="200" w:firstLine="622"/>
        <w:rPr>
          <w:rFonts w:eastAsia="仿宋_GB2312"/>
          <w:szCs w:val="32"/>
        </w:rPr>
      </w:pPr>
      <w:r>
        <w:rPr>
          <w:rFonts w:ascii="楷体_GB2312" w:eastAsia="楷体_GB2312" w:hAnsi="楷体_GB2312" w:cs="楷体_GB2312" w:hint="eastAsia"/>
          <w:szCs w:val="32"/>
        </w:rPr>
        <w:t>实施动态评估。</w:t>
      </w:r>
      <w:r>
        <w:rPr>
          <w:rFonts w:ascii="仿宋_GB2312" w:eastAsia="仿宋_GB2312" w:hAnsi="宋体" w:cs="宋体" w:hint="eastAsia"/>
          <w:szCs w:val="32"/>
        </w:rPr>
        <w:t>完善对规划实施情况的信息收集和动态跟踪，加强对规划主要指标的监测、统计。建立健全年度监测分析、中期评估与总结评估体系，聘请第三方机构对</w:t>
      </w:r>
      <w:r>
        <w:rPr>
          <w:rFonts w:ascii="仿宋_GB2312" w:eastAsia="仿宋_GB2312" w:hAnsi="宋体" w:cs="宋体" w:hint="eastAsia"/>
          <w:szCs w:val="32"/>
        </w:rPr>
        <w:t>规划实施情况进行总结，针对存在问题提出修改意见，需对主要内容修改的，由相关部门按照程序报市人民政府审定。畅通社会监督渠道，积极开展社会评价，凝聚社会共识</w:t>
      </w:r>
      <w:r>
        <w:rPr>
          <w:rFonts w:ascii="仿宋_GB2312" w:eastAsia="仿宋_GB2312" w:hAnsi="宋体" w:cs="宋体"/>
          <w:szCs w:val="32"/>
        </w:rPr>
        <w:t>。</w:t>
      </w:r>
    </w:p>
    <w:sectPr w:rsidR="002C2F4D">
      <w:footerReference w:type="default" r:id="rId13"/>
      <w:headerReference w:type="first" r:id="rId14"/>
      <w:footerReference w:type="first" r:id="rId15"/>
      <w:pgSz w:w="11907" w:h="16840"/>
      <w:pgMar w:top="2098" w:right="1474" w:bottom="1985" w:left="1588" w:header="851" w:footer="1701" w:gutter="0"/>
      <w:cols w:space="720"/>
      <w:titlePg/>
      <w:docGrid w:type="linesAndChars" w:linePitch="289" w:charSpace="-183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D81" w:rsidRDefault="00061D81">
      <w:r>
        <w:separator/>
      </w:r>
    </w:p>
  </w:endnote>
  <w:endnote w:type="continuationSeparator" w:id="0">
    <w:p w:rsidR="00061D81" w:rsidRDefault="00061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文星仿宋">
    <w:altName w:val="方正仿宋_GBK"/>
    <w:charset w:val="00"/>
    <w:family w:val="auto"/>
    <w:pitch w:val="default"/>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方正小标宋简体">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F4D" w:rsidRDefault="00061D81">
    <w:pPr>
      <w:pStyle w:val="a6"/>
      <w:framePr w:wrap="around" w:vAnchor="text" w:hAnchor="margin" w:xAlign="outside" w:y="1"/>
      <w:rPr>
        <w:rStyle w:val="aa"/>
      </w:rPr>
    </w:pPr>
    <w:r>
      <w:rPr>
        <w:rStyle w:val="aa"/>
      </w:rPr>
      <w:fldChar w:fldCharType="begin"/>
    </w:r>
    <w:r>
      <w:rPr>
        <w:rStyle w:val="aa"/>
      </w:rPr>
      <w:instrText xml:space="preserve">PAGE  </w:instrText>
    </w:r>
    <w:r>
      <w:rPr>
        <w:rStyle w:val="aa"/>
      </w:rPr>
      <w:fldChar w:fldCharType="end"/>
    </w:r>
  </w:p>
  <w:p w:rsidR="002C2F4D" w:rsidRDefault="002C2F4D">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F4D" w:rsidRDefault="00061D81">
    <w:pPr>
      <w:pStyle w:val="a6"/>
      <w:framePr w:wrap="around" w:vAnchor="text" w:hAnchor="margin" w:xAlign="outside" w:y="1"/>
      <w:ind w:leftChars="200" w:left="420" w:rightChars="200" w:right="420"/>
      <w:jc w:val="center"/>
      <w:rPr>
        <w:rStyle w:val="aa"/>
        <w:sz w:val="28"/>
      </w:rPr>
    </w:pPr>
    <w:r>
      <w:rPr>
        <w:rStyle w:val="aa"/>
        <w:rFonts w:hint="eastAsia"/>
        <w:sz w:val="28"/>
      </w:rPr>
      <w:t>—</w:t>
    </w:r>
    <w:r>
      <w:rPr>
        <w:rStyle w:val="aa"/>
        <w:sz w:val="28"/>
      </w:rPr>
      <w:t xml:space="preserve"> </w:t>
    </w:r>
    <w:r>
      <w:rPr>
        <w:rStyle w:val="aa"/>
        <w:sz w:val="28"/>
      </w:rPr>
      <w:fldChar w:fldCharType="begin"/>
    </w:r>
    <w:r>
      <w:rPr>
        <w:rStyle w:val="aa"/>
        <w:sz w:val="28"/>
      </w:rPr>
      <w:instrText xml:space="preserve">PAGE  </w:instrText>
    </w:r>
    <w:r>
      <w:rPr>
        <w:rStyle w:val="aa"/>
        <w:sz w:val="28"/>
      </w:rPr>
      <w:fldChar w:fldCharType="separate"/>
    </w:r>
    <w:r>
      <w:rPr>
        <w:rStyle w:val="aa"/>
        <w:noProof/>
        <w:sz w:val="28"/>
      </w:rPr>
      <w:t>1</w:t>
    </w:r>
    <w:r>
      <w:rPr>
        <w:rStyle w:val="aa"/>
        <w:sz w:val="28"/>
      </w:rPr>
      <w:fldChar w:fldCharType="end"/>
    </w:r>
    <w:r>
      <w:rPr>
        <w:rStyle w:val="aa"/>
        <w:sz w:val="28"/>
      </w:rPr>
      <w:t xml:space="preserve"> </w:t>
    </w:r>
    <w:r>
      <w:rPr>
        <w:rStyle w:val="aa"/>
        <w:rFonts w:hint="eastAsia"/>
        <w:sz w:val="28"/>
      </w:rPr>
      <w:t>—</w:t>
    </w:r>
  </w:p>
  <w:p w:rsidR="002C2F4D" w:rsidRDefault="002C2F4D">
    <w:pPr>
      <w:pStyle w:val="a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F4D" w:rsidRDefault="00061D81">
    <w:pPr>
      <w:pStyle w:val="a6"/>
      <w:framePr w:wrap="around" w:vAnchor="text" w:hAnchor="margin" w:xAlign="outside" w:y="1"/>
      <w:ind w:leftChars="200" w:left="420" w:rightChars="200" w:right="420"/>
      <w:jc w:val="center"/>
      <w:rPr>
        <w:rStyle w:val="aa"/>
        <w:sz w:val="28"/>
      </w:rPr>
    </w:pPr>
    <w:r>
      <w:rPr>
        <w:rStyle w:val="aa"/>
        <w:rFonts w:hint="eastAsia"/>
        <w:sz w:val="28"/>
      </w:rPr>
      <w:t>—</w:t>
    </w:r>
    <w:r>
      <w:rPr>
        <w:rStyle w:val="aa"/>
        <w:sz w:val="28"/>
      </w:rPr>
      <w:t xml:space="preserve"> </w:t>
    </w:r>
    <w:r>
      <w:rPr>
        <w:rStyle w:val="aa"/>
        <w:sz w:val="28"/>
      </w:rPr>
      <w:fldChar w:fldCharType="begin"/>
    </w:r>
    <w:r>
      <w:rPr>
        <w:rStyle w:val="aa"/>
        <w:sz w:val="28"/>
      </w:rPr>
      <w:instrText xml:space="preserve">PAGE  </w:instrText>
    </w:r>
    <w:r>
      <w:rPr>
        <w:rStyle w:val="aa"/>
        <w:sz w:val="28"/>
      </w:rPr>
      <w:fldChar w:fldCharType="separate"/>
    </w:r>
    <w:r w:rsidR="00FA6DB5">
      <w:rPr>
        <w:rStyle w:val="aa"/>
        <w:noProof/>
        <w:sz w:val="28"/>
      </w:rPr>
      <w:t>72</w:t>
    </w:r>
    <w:r>
      <w:rPr>
        <w:rStyle w:val="aa"/>
        <w:sz w:val="28"/>
      </w:rPr>
      <w:fldChar w:fldCharType="end"/>
    </w:r>
    <w:r>
      <w:rPr>
        <w:rStyle w:val="aa"/>
        <w:sz w:val="28"/>
      </w:rPr>
      <w:t xml:space="preserve"> </w:t>
    </w:r>
    <w:r>
      <w:rPr>
        <w:rStyle w:val="aa"/>
        <w:rFonts w:hint="eastAsia"/>
        <w:sz w:val="28"/>
      </w:rPr>
      <w:t>—</w:t>
    </w:r>
  </w:p>
  <w:p w:rsidR="002C2F4D" w:rsidRDefault="002C2F4D">
    <w:pPr>
      <w:pStyle w:val="a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F4D" w:rsidRDefault="002C2F4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D81" w:rsidRDefault="00061D81">
      <w:r>
        <w:separator/>
      </w:r>
    </w:p>
  </w:footnote>
  <w:footnote w:type="continuationSeparator" w:id="0">
    <w:p w:rsidR="00061D81" w:rsidRDefault="00061D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F4D" w:rsidRDefault="002C2F4D">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F4D" w:rsidRDefault="002C2F4D">
    <w:pPr>
      <w:pStyle w:val="a7"/>
      <w:pBdr>
        <w:bottom w:val="none" w:sz="0"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F4D" w:rsidRDefault="002C2F4D">
    <w:pPr>
      <w:pStyle w:val="a7"/>
      <w:pBdr>
        <w:bottom w:val="none" w:sz="0"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EF9B994"/>
    <w:multiLevelType w:val="singleLevel"/>
    <w:tmpl w:val="FEF9B994"/>
    <w:lvl w:ilvl="0">
      <w:start w:val="2"/>
      <w:numFmt w:val="chineseCounting"/>
      <w:suff w:val="space"/>
      <w:lvlText w:val="第%1节"/>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201"/>
  <w:drawingGridVerticalSpacing w:val="289"/>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2186E"/>
    <w:rsid w:val="BF7F705B"/>
    <w:rsid w:val="BFE83797"/>
    <w:rsid w:val="D67C42A4"/>
    <w:rsid w:val="EF6F57F7"/>
    <w:rsid w:val="FBA26165"/>
    <w:rsid w:val="FBFB7F2C"/>
    <w:rsid w:val="FE7F5A80"/>
    <w:rsid w:val="000007A8"/>
    <w:rsid w:val="000044C7"/>
    <w:rsid w:val="000068A5"/>
    <w:rsid w:val="0003738B"/>
    <w:rsid w:val="00061D81"/>
    <w:rsid w:val="00071623"/>
    <w:rsid w:val="000E2D13"/>
    <w:rsid w:val="00143BAA"/>
    <w:rsid w:val="00184D7D"/>
    <w:rsid w:val="001C2AA4"/>
    <w:rsid w:val="001C3B43"/>
    <w:rsid w:val="002B4F82"/>
    <w:rsid w:val="002C2F4D"/>
    <w:rsid w:val="002E19E1"/>
    <w:rsid w:val="002E5E1B"/>
    <w:rsid w:val="002F11DA"/>
    <w:rsid w:val="002F6A2E"/>
    <w:rsid w:val="00326547"/>
    <w:rsid w:val="00334EA9"/>
    <w:rsid w:val="00344D03"/>
    <w:rsid w:val="003454CF"/>
    <w:rsid w:val="00346591"/>
    <w:rsid w:val="0036674E"/>
    <w:rsid w:val="003811AD"/>
    <w:rsid w:val="003A0B3A"/>
    <w:rsid w:val="003B4936"/>
    <w:rsid w:val="003C2B8E"/>
    <w:rsid w:val="003D411B"/>
    <w:rsid w:val="0040798F"/>
    <w:rsid w:val="00423112"/>
    <w:rsid w:val="00470219"/>
    <w:rsid w:val="00475655"/>
    <w:rsid w:val="00475EA0"/>
    <w:rsid w:val="004D08EE"/>
    <w:rsid w:val="0052186E"/>
    <w:rsid w:val="00573751"/>
    <w:rsid w:val="00577ED3"/>
    <w:rsid w:val="005A520C"/>
    <w:rsid w:val="005C2FB4"/>
    <w:rsid w:val="00600D6F"/>
    <w:rsid w:val="006060B6"/>
    <w:rsid w:val="00643EF8"/>
    <w:rsid w:val="006463F7"/>
    <w:rsid w:val="00672D83"/>
    <w:rsid w:val="00686D91"/>
    <w:rsid w:val="006D1237"/>
    <w:rsid w:val="00712D3A"/>
    <w:rsid w:val="007276F9"/>
    <w:rsid w:val="007318B6"/>
    <w:rsid w:val="00731E55"/>
    <w:rsid w:val="00752846"/>
    <w:rsid w:val="00763B0E"/>
    <w:rsid w:val="00773454"/>
    <w:rsid w:val="00777D65"/>
    <w:rsid w:val="00781034"/>
    <w:rsid w:val="007A0114"/>
    <w:rsid w:val="007A2640"/>
    <w:rsid w:val="007B01A3"/>
    <w:rsid w:val="007B1EDA"/>
    <w:rsid w:val="007C6740"/>
    <w:rsid w:val="007D0386"/>
    <w:rsid w:val="007D2F1D"/>
    <w:rsid w:val="00846D11"/>
    <w:rsid w:val="0085493B"/>
    <w:rsid w:val="00873B40"/>
    <w:rsid w:val="008914FD"/>
    <w:rsid w:val="008D6530"/>
    <w:rsid w:val="008E29A0"/>
    <w:rsid w:val="008F2448"/>
    <w:rsid w:val="00912EC7"/>
    <w:rsid w:val="00942266"/>
    <w:rsid w:val="00963484"/>
    <w:rsid w:val="009920BF"/>
    <w:rsid w:val="0099656B"/>
    <w:rsid w:val="009C102D"/>
    <w:rsid w:val="009C116B"/>
    <w:rsid w:val="009F78DD"/>
    <w:rsid w:val="009F7972"/>
    <w:rsid w:val="00A36258"/>
    <w:rsid w:val="00A91468"/>
    <w:rsid w:val="00AA3F8A"/>
    <w:rsid w:val="00AA64D3"/>
    <w:rsid w:val="00AC3CF4"/>
    <w:rsid w:val="00AE4B3F"/>
    <w:rsid w:val="00AE656A"/>
    <w:rsid w:val="00B123FE"/>
    <w:rsid w:val="00B70BCD"/>
    <w:rsid w:val="00B770E9"/>
    <w:rsid w:val="00B93140"/>
    <w:rsid w:val="00BA35B4"/>
    <w:rsid w:val="00BC6067"/>
    <w:rsid w:val="00C22CEC"/>
    <w:rsid w:val="00C2526A"/>
    <w:rsid w:val="00CC42BE"/>
    <w:rsid w:val="00CE2267"/>
    <w:rsid w:val="00CE76C4"/>
    <w:rsid w:val="00D000FF"/>
    <w:rsid w:val="00D173C2"/>
    <w:rsid w:val="00D40E94"/>
    <w:rsid w:val="00D43624"/>
    <w:rsid w:val="00D44E9D"/>
    <w:rsid w:val="00D64A77"/>
    <w:rsid w:val="00D8625C"/>
    <w:rsid w:val="00DB7FA1"/>
    <w:rsid w:val="00DD768C"/>
    <w:rsid w:val="00E2093B"/>
    <w:rsid w:val="00E31F62"/>
    <w:rsid w:val="00E67E23"/>
    <w:rsid w:val="00E74110"/>
    <w:rsid w:val="00EA77DD"/>
    <w:rsid w:val="00EB3529"/>
    <w:rsid w:val="00F13242"/>
    <w:rsid w:val="00F23CEA"/>
    <w:rsid w:val="00F35D3F"/>
    <w:rsid w:val="00F410DE"/>
    <w:rsid w:val="00F61E7C"/>
    <w:rsid w:val="00FA6DB5"/>
    <w:rsid w:val="00FB20E7"/>
    <w:rsid w:val="1EBD1CDF"/>
    <w:rsid w:val="67EF89D4"/>
    <w:rsid w:val="73DFDE7F"/>
    <w:rsid w:val="75FFD392"/>
    <w:rsid w:val="76C3614B"/>
    <w:rsid w:val="7AFEF08A"/>
    <w:rsid w:val="7F655678"/>
    <w:rsid w:val="7FF96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3">
    <w:name w:val="heading 3"/>
    <w:basedOn w:val="a"/>
    <w:next w:val="a"/>
    <w:qFormat/>
    <w:pPr>
      <w:keepNext/>
      <w:keepLines/>
      <w:spacing w:before="260" w:after="260" w:line="416"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Pr>
      <w:rFonts w:eastAsia="文星仿宋"/>
      <w:sz w:val="32"/>
    </w:rPr>
  </w:style>
  <w:style w:type="paragraph" w:styleId="a4">
    <w:name w:val="Date"/>
    <w:basedOn w:val="a"/>
    <w:next w:val="a"/>
    <w:pPr>
      <w:ind w:leftChars="2500" w:left="100"/>
    </w:pPr>
  </w:style>
  <w:style w:type="paragraph" w:styleId="a5">
    <w:name w:val="Balloon Text"/>
    <w:basedOn w:val="a"/>
    <w:semiHidden/>
    <w:rPr>
      <w:sz w:val="18"/>
      <w:szCs w:val="18"/>
    </w:rPr>
  </w:style>
  <w:style w:type="paragraph" w:styleId="a6">
    <w:name w:val="footer"/>
    <w:basedOn w:val="a"/>
    <w:pPr>
      <w:tabs>
        <w:tab w:val="center" w:pos="4153"/>
        <w:tab w:val="right" w:pos="8306"/>
      </w:tabs>
      <w:snapToGrid w:val="0"/>
      <w:jc w:val="left"/>
    </w:pPr>
    <w:rPr>
      <w:sz w:val="18"/>
      <w:szCs w:val="18"/>
    </w:rPr>
  </w:style>
  <w:style w:type="paragraph" w:styleId="a7">
    <w:name w:val="header"/>
    <w:basedOn w:val="a"/>
    <w:pPr>
      <w:pBdr>
        <w:bottom w:val="single" w:sz="6" w:space="1" w:color="auto"/>
      </w:pBdr>
      <w:tabs>
        <w:tab w:val="center" w:pos="4153"/>
        <w:tab w:val="right" w:pos="8306"/>
      </w:tabs>
      <w:snapToGrid w:val="0"/>
      <w:jc w:val="center"/>
    </w:pPr>
    <w:rPr>
      <w:sz w:val="18"/>
      <w:szCs w:val="18"/>
    </w:rPr>
  </w:style>
  <w:style w:type="paragraph" w:styleId="a8">
    <w:name w:val="Normal (Web)"/>
    <w:basedOn w:val="a"/>
    <w:unhideWhenUsed/>
    <w:qFormat/>
    <w:pPr>
      <w:widowControl/>
      <w:jc w:val="left"/>
    </w:pPr>
    <w:rPr>
      <w:rFonts w:ascii="宋体" w:hAnsi="宋体" w:cs="宋体"/>
      <w:kern w:val="0"/>
      <w:sz w:val="24"/>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age number"/>
    <w:basedOn w:val="a0"/>
  </w:style>
  <w:style w:type="character" w:styleId="ab">
    <w:name w:val="Hyperlink"/>
    <w:rPr>
      <w:color w:val="0000FF"/>
      <w:u w:val="single"/>
    </w:rPr>
  </w:style>
  <w:style w:type="character" w:customStyle="1" w:styleId="Char">
    <w:name w:val="正文文本 Char"/>
    <w:link w:val="a3"/>
    <w:rPr>
      <w:rFonts w:eastAsia="文星仿宋"/>
      <w:kern w:val="2"/>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74</Pages>
  <Words>6369</Words>
  <Characters>36304</Characters>
  <Application>Microsoft Office Word</Application>
  <DocSecurity>0</DocSecurity>
  <Lines>302</Lines>
  <Paragraphs>85</Paragraphs>
  <ScaleCrop>false</ScaleCrop>
  <Company>tjszf</Company>
  <LinksUpToDate>false</LinksUpToDate>
  <CharactersWithSpaces>42588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我</dc:title>
  <dc:creator>jsj</dc:creator>
  <cp:lastModifiedBy>Admin0926</cp:lastModifiedBy>
  <cp:revision>24</cp:revision>
  <cp:lastPrinted>2020-12-27T01:46:00Z</cp:lastPrinted>
  <dcterms:created xsi:type="dcterms:W3CDTF">2014-06-10T00:51:00Z</dcterms:created>
  <dcterms:modified xsi:type="dcterms:W3CDTF">2021-12-17T07:13:00Z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