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del w:id="0" w:author=" Chloe堂姐" w:date="2025-11-04T10:31:00Z"/>
          <w:rFonts w:ascii="仿宋_GB2312" w:eastAsia="仿宋_GB2312"/>
          <w:sz w:val="32"/>
          <w:szCs w:val="32"/>
        </w:rPr>
      </w:pPr>
    </w:p>
    <w:p>
      <w:pPr>
        <w:rPr>
          <w:del w:id="1" w:author=" Chloe堂姐" w:date="2025-11-04T10:31:00Z"/>
          <w:rFonts w:ascii="仿宋_GB2312" w:eastAsia="仿宋_GB2312"/>
          <w:sz w:val="32"/>
          <w:szCs w:val="32"/>
        </w:rPr>
      </w:pPr>
    </w:p>
    <w:p>
      <w:pPr>
        <w:tabs>
          <w:tab w:val="left" w:pos="7088"/>
        </w:tabs>
        <w:rPr>
          <w:del w:id="2" w:author=" Chloe堂姐" w:date="2025-11-04T10:31:00Z"/>
          <w:rFonts w:ascii="黑体" w:eastAsia="黑体"/>
          <w:sz w:val="32"/>
          <w:szCs w:val="32"/>
        </w:rPr>
      </w:pPr>
    </w:p>
    <w:p>
      <w:pPr>
        <w:tabs>
          <w:tab w:val="left" w:pos="6379"/>
          <w:tab w:val="left" w:pos="6521"/>
          <w:tab w:val="left" w:pos="7088"/>
        </w:tabs>
        <w:spacing w:line="1200" w:lineRule="exact"/>
        <w:rPr>
          <w:del w:id="3" w:author=" Chloe堂姐" w:date="2025-11-04T10:31:00Z"/>
          <w:rFonts w:ascii="方正小标宋简体" w:hAnsi="华文宋体" w:eastAsia="方正小标宋简体"/>
          <w:snapToGrid w:val="0"/>
          <w:color w:val="FF0000"/>
          <w:spacing w:val="-16"/>
          <w:w w:val="70"/>
          <w:kern w:val="0"/>
          <w:sz w:val="96"/>
          <w:szCs w:val="96"/>
        </w:rPr>
      </w:pPr>
      <w:del w:id="4" w:author=" Chloe堂姐" w:date="2025-11-04T10:31:00Z">
        <w:r>
          <w:rPr>
            <w:spacing w:val="-16"/>
          </w:rPr>
          <mc:AlternateContent>
            <mc:Choice Requires="wps">
              <w:drawing>
                <wp:anchor distT="0" distB="0" distL="114300" distR="114300" simplePos="0" relativeHeight="251660288" behindDoc="0" locked="0" layoutInCell="1" allowOverlap="1">
                  <wp:simplePos x="0" y="0"/>
                  <wp:positionH relativeFrom="column">
                    <wp:posOffset>4104005</wp:posOffset>
                  </wp:positionH>
                  <wp:positionV relativeFrom="paragraph">
                    <wp:posOffset>37465</wp:posOffset>
                  </wp:positionV>
                  <wp:extent cx="2245995" cy="1619250"/>
                  <wp:effectExtent l="0" t="0" r="0" b="0"/>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246630" cy="1576705"/>
                          </a:xfrm>
                          <a:prstGeom prst="rect">
                            <a:avLst/>
                          </a:prstGeom>
                          <a:noFill/>
                          <a:ln>
                            <a:noFill/>
                          </a:ln>
                          <a:effectLst/>
                        </wps:spPr>
                        <wps:txbx>
                          <w:txbxContent>
                            <w:p>
                              <w:pPr>
                                <w:spacing w:line="1760" w:lineRule="exact"/>
                                <w:jc w:val="center"/>
                                <w:rPr>
                                  <w:rFonts w:ascii="方正小标宋简体" w:hAnsi="华文宋体" w:eastAsia="方正小标宋简体"/>
                                  <w:snapToGrid w:val="0"/>
                                  <w:color w:val="FF0000"/>
                                  <w:spacing w:val="30"/>
                                  <w:w w:val="70"/>
                                  <w:kern w:val="0"/>
                                  <w:sz w:val="96"/>
                                  <w:szCs w:val="96"/>
                                </w:rPr>
                              </w:pPr>
                              <w:r>
                                <w:rPr>
                                  <w:rFonts w:hint="eastAsia" w:ascii="方正小标宋简体" w:hAnsi="华文宋体" w:eastAsia="方正小标宋简体"/>
                                  <w:snapToGrid w:val="0"/>
                                  <w:color w:val="FF0000"/>
                                  <w:spacing w:val="30"/>
                                  <w:w w:val="70"/>
                                  <w:kern w:val="0"/>
                                  <w:sz w:val="96"/>
                                  <w:szCs w:val="96"/>
                                </w:rPr>
                                <w:t>文件</w:t>
                              </w:r>
                            </w:p>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_x0000_s1026" o:spid="_x0000_s1026" o:spt="202" type="#_x0000_t202" style="position:absolute;left:0pt;margin-left:323.15pt;margin-top:2.95pt;height:127.5pt;width:176.85pt;z-index:251660288;mso-width-relative:margin;mso-height-relative:margin;mso-width-percent:400;mso-height-percent:200;" filled="f" stroked="f" coordsize="21600,21600" o:gfxdata="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o6P3z1wAAAAoB&#10;AAAPAAAAAAAAAAEAIAAAACIAAABkcnMvZG93bnJldi54bWxQSwECFAAUAAAACACHTuJAK2yGJhwC&#10;AAAkBAAADgAAAAAAAAABACAAAAAmAQAAZHJzL2Uyb0RvYy54bWxQSwUGAAAAAAYABgBZAQAAtAUA&#10;AAAA&#10;">
                  <v:fill on="f" focussize="0,0"/>
                  <v:stroke on="f"/>
                  <v:imagedata o:title=""/>
                  <o:lock v:ext="edit" aspectratio="f"/>
                  <v:textbox style="mso-fit-shape-to-text:t;">
                    <w:txbxContent>
                      <w:p>
                        <w:pPr>
                          <w:spacing w:line="1760" w:lineRule="exact"/>
                          <w:jc w:val="center"/>
                          <w:rPr>
                            <w:rFonts w:ascii="方正小标宋简体" w:hAnsi="华文宋体" w:eastAsia="方正小标宋简体"/>
                            <w:snapToGrid w:val="0"/>
                            <w:color w:val="FF0000"/>
                            <w:spacing w:val="30"/>
                            <w:w w:val="70"/>
                            <w:kern w:val="0"/>
                            <w:sz w:val="96"/>
                            <w:szCs w:val="96"/>
                          </w:rPr>
                        </w:pPr>
                        <w:r>
                          <w:rPr>
                            <w:rFonts w:hint="eastAsia" w:ascii="方正小标宋简体" w:hAnsi="华文宋体" w:eastAsia="方正小标宋简体"/>
                            <w:snapToGrid w:val="0"/>
                            <w:color w:val="FF0000"/>
                            <w:spacing w:val="30"/>
                            <w:w w:val="70"/>
                            <w:kern w:val="0"/>
                            <w:sz w:val="96"/>
                            <w:szCs w:val="96"/>
                          </w:rPr>
                          <w:t>文件</w:t>
                        </w:r>
                      </w:p>
                      <w:p/>
                    </w:txbxContent>
                  </v:textbox>
                </v:shape>
              </w:pict>
            </mc:Fallback>
          </mc:AlternateContent>
        </w:r>
      </w:del>
      <w:del w:id="6" w:author=" Chloe堂姐" w:date="2025-11-04T10:31:00Z">
        <w:r>
          <w:rPr>
            <w:rFonts w:hint="eastAsia" w:ascii="方正小标宋简体" w:hAnsi="华文宋体" w:eastAsia="方正小标宋简体"/>
            <w:snapToGrid w:val="0"/>
            <w:color w:val="FF0000"/>
            <w:spacing w:val="-16"/>
            <w:w w:val="70"/>
            <w:kern w:val="0"/>
            <w:sz w:val="96"/>
            <w:szCs w:val="96"/>
          </w:rPr>
          <w:delText>天 津 市 科 学 技 术 局</w:delText>
        </w:r>
      </w:del>
    </w:p>
    <w:p>
      <w:pPr>
        <w:tabs>
          <w:tab w:val="left" w:pos="6096"/>
          <w:tab w:val="left" w:pos="7088"/>
        </w:tabs>
        <w:spacing w:line="1200" w:lineRule="exact"/>
        <w:rPr>
          <w:del w:id="7" w:author=" Chloe堂姐" w:date="2025-11-04T10:31:00Z"/>
          <w:rFonts w:ascii="方正小标宋简体" w:hAnsi="华文宋体" w:eastAsia="方正小标宋简体"/>
          <w:snapToGrid w:val="0"/>
          <w:color w:val="FF0000"/>
          <w:spacing w:val="76"/>
          <w:w w:val="70"/>
          <w:kern w:val="0"/>
          <w:sz w:val="96"/>
          <w:szCs w:val="96"/>
        </w:rPr>
      </w:pPr>
      <w:del w:id="8" w:author=" Chloe堂姐" w:date="2025-11-04T10:31:00Z">
        <w:r>
          <w:rPr>
            <w:rFonts w:hint="eastAsia" w:ascii="方正小标宋简体" w:hAnsi="华文宋体" w:eastAsia="方正小标宋简体"/>
            <w:snapToGrid w:val="0"/>
            <w:color w:val="FF0000"/>
            <w:spacing w:val="76"/>
            <w:w w:val="70"/>
            <w:kern w:val="0"/>
            <w:sz w:val="96"/>
            <w:szCs w:val="96"/>
          </w:rPr>
          <w:delText>天</w:delText>
        </w:r>
      </w:del>
      <w:del w:id="9" w:author=" Chloe堂姐" w:date="2025-11-04T10:31:00Z">
        <w:r>
          <w:rPr>
            <w:rFonts w:ascii="方正小标宋简体" w:hAnsi="华文宋体" w:eastAsia="方正小标宋简体"/>
            <w:snapToGrid w:val="0"/>
            <w:color w:val="FF0000"/>
            <w:spacing w:val="76"/>
            <w:w w:val="70"/>
            <w:kern w:val="0"/>
            <w:sz w:val="96"/>
            <w:szCs w:val="96"/>
          </w:rPr>
          <w:delText xml:space="preserve"> </w:delText>
        </w:r>
      </w:del>
      <w:del w:id="10" w:author=" Chloe堂姐" w:date="2025-11-04T10:31:00Z">
        <w:r>
          <w:rPr>
            <w:rFonts w:hint="eastAsia" w:ascii="方正小标宋简体" w:hAnsi="华文宋体" w:eastAsia="方正小标宋简体"/>
            <w:snapToGrid w:val="0"/>
            <w:color w:val="FF0000"/>
            <w:spacing w:val="76"/>
            <w:w w:val="70"/>
            <w:kern w:val="0"/>
            <w:sz w:val="96"/>
            <w:szCs w:val="96"/>
          </w:rPr>
          <w:delText>津</w:delText>
        </w:r>
      </w:del>
      <w:del w:id="11" w:author=" Chloe堂姐" w:date="2025-11-04T10:31:00Z">
        <w:r>
          <w:rPr>
            <w:rFonts w:ascii="方正小标宋简体" w:hAnsi="华文宋体" w:eastAsia="方正小标宋简体"/>
            <w:snapToGrid w:val="0"/>
            <w:color w:val="FF0000"/>
            <w:spacing w:val="76"/>
            <w:w w:val="70"/>
            <w:kern w:val="0"/>
            <w:sz w:val="96"/>
            <w:szCs w:val="96"/>
          </w:rPr>
          <w:delText xml:space="preserve"> </w:delText>
        </w:r>
      </w:del>
      <w:del w:id="12" w:author=" Chloe堂姐" w:date="2025-11-04T10:31:00Z">
        <w:r>
          <w:rPr>
            <w:rFonts w:hint="eastAsia" w:ascii="方正小标宋简体" w:hAnsi="华文宋体" w:eastAsia="方正小标宋简体"/>
            <w:snapToGrid w:val="0"/>
            <w:color w:val="FF0000"/>
            <w:spacing w:val="76"/>
            <w:w w:val="70"/>
            <w:kern w:val="0"/>
            <w:sz w:val="96"/>
            <w:szCs w:val="96"/>
          </w:rPr>
          <w:delText>市</w:delText>
        </w:r>
      </w:del>
      <w:del w:id="13" w:author=" Chloe堂姐" w:date="2025-11-04T10:31:00Z">
        <w:r>
          <w:rPr>
            <w:rFonts w:ascii="方正小标宋简体" w:hAnsi="华文宋体" w:eastAsia="方正小标宋简体"/>
            <w:snapToGrid w:val="0"/>
            <w:color w:val="FF0000"/>
            <w:spacing w:val="76"/>
            <w:w w:val="70"/>
            <w:kern w:val="0"/>
            <w:sz w:val="96"/>
            <w:szCs w:val="96"/>
          </w:rPr>
          <w:delText xml:space="preserve"> </w:delText>
        </w:r>
      </w:del>
      <w:del w:id="14" w:author=" Chloe堂姐" w:date="2025-11-04T10:31:00Z">
        <w:r>
          <w:rPr>
            <w:rFonts w:hint="eastAsia" w:ascii="方正小标宋简体" w:hAnsi="华文宋体" w:eastAsia="方正小标宋简体"/>
            <w:snapToGrid w:val="0"/>
            <w:color w:val="FF0000"/>
            <w:spacing w:val="76"/>
            <w:w w:val="70"/>
            <w:kern w:val="0"/>
            <w:sz w:val="96"/>
            <w:szCs w:val="96"/>
          </w:rPr>
          <w:delText>财</w:delText>
        </w:r>
      </w:del>
      <w:del w:id="15" w:author=" Chloe堂姐" w:date="2025-11-04T10:31:00Z">
        <w:r>
          <w:rPr>
            <w:rFonts w:ascii="方正小标宋简体" w:hAnsi="华文宋体" w:eastAsia="方正小标宋简体"/>
            <w:snapToGrid w:val="0"/>
            <w:color w:val="FF0000"/>
            <w:spacing w:val="76"/>
            <w:w w:val="70"/>
            <w:kern w:val="0"/>
            <w:sz w:val="96"/>
            <w:szCs w:val="96"/>
          </w:rPr>
          <w:delText xml:space="preserve"> </w:delText>
        </w:r>
      </w:del>
      <w:del w:id="16" w:author=" Chloe堂姐" w:date="2025-11-04T10:31:00Z">
        <w:r>
          <w:rPr>
            <w:rFonts w:hint="eastAsia" w:ascii="方正小标宋简体" w:hAnsi="华文宋体" w:eastAsia="方正小标宋简体"/>
            <w:snapToGrid w:val="0"/>
            <w:color w:val="FF0000"/>
            <w:spacing w:val="76"/>
            <w:w w:val="70"/>
            <w:kern w:val="0"/>
            <w:sz w:val="96"/>
            <w:szCs w:val="96"/>
          </w:rPr>
          <w:delText>政</w:delText>
        </w:r>
      </w:del>
      <w:del w:id="17" w:author=" Chloe堂姐" w:date="2025-11-04T10:31:00Z">
        <w:r>
          <w:rPr>
            <w:rFonts w:ascii="方正小标宋简体" w:hAnsi="华文宋体" w:eastAsia="方正小标宋简体"/>
            <w:snapToGrid w:val="0"/>
            <w:color w:val="FF0000"/>
            <w:spacing w:val="76"/>
            <w:w w:val="70"/>
            <w:kern w:val="0"/>
            <w:sz w:val="96"/>
            <w:szCs w:val="96"/>
          </w:rPr>
          <w:delText xml:space="preserve"> </w:delText>
        </w:r>
      </w:del>
      <w:del w:id="18" w:author=" Chloe堂姐" w:date="2025-11-04T10:31:00Z">
        <w:r>
          <w:rPr>
            <w:rFonts w:hint="eastAsia" w:ascii="方正小标宋简体" w:hAnsi="华文宋体" w:eastAsia="方正小标宋简体"/>
            <w:snapToGrid w:val="0"/>
            <w:color w:val="FF0000"/>
            <w:spacing w:val="76"/>
            <w:w w:val="70"/>
            <w:kern w:val="0"/>
            <w:sz w:val="96"/>
            <w:szCs w:val="96"/>
          </w:rPr>
          <w:delText>局</w:delText>
        </w:r>
      </w:del>
    </w:p>
    <w:p>
      <w:pPr>
        <w:jc w:val="center"/>
        <w:rPr>
          <w:ins w:id="19" w:author="ljm" w:date="2025-11-04T09:54:00Z"/>
          <w:del w:id="20" w:author=" Chloe堂姐" w:date="2025-11-04T10:31:00Z"/>
          <w:rFonts w:hint="eastAsia" w:ascii="仿宋_GB2312" w:hAnsi="宋体" w:eastAsia="仿宋_GB2312"/>
          <w:color w:val="FF0000"/>
          <w:sz w:val="32"/>
          <w:szCs w:val="32"/>
        </w:rPr>
      </w:pPr>
    </w:p>
    <w:p>
      <w:pPr>
        <w:pStyle w:val="2"/>
        <w:jc w:val="center"/>
        <w:rPr>
          <w:ins w:id="22" w:author="ljm" w:date="2025-11-04T09:54:00Z"/>
          <w:del w:id="23" w:author=" Chloe堂姐" w:date="2025-11-04T10:31:00Z"/>
          <w:rFonts w:hint="eastAsia"/>
        </w:rPr>
        <w:pPrChange w:id="21" w:author="ljm" w:date="2025-11-04T09:54:00Z">
          <w:pPr>
            <w:jc w:val="center"/>
          </w:pPr>
        </w:pPrChange>
      </w:pPr>
    </w:p>
    <w:p>
      <w:pPr>
        <w:jc w:val="both"/>
        <w:rPr>
          <w:del w:id="25" w:author=" Chloe堂姐" w:date="2025-11-04T10:31:00Z"/>
          <w:rFonts w:ascii="Times New Roman" w:hAnsi="Times New Roman" w:eastAsia="宋体"/>
          <w:color w:val="auto"/>
          <w:sz w:val="21"/>
          <w:szCs w:val="24"/>
          <w:rPrChange w:id="26" w:author="ljm" w:date="2025-11-04T09:54:00Z">
            <w:rPr>
              <w:del w:id="27" w:author=" Chloe堂姐" w:date="2025-11-04T10:31:00Z"/>
              <w:rFonts w:ascii="仿宋_GB2312" w:hAnsi="宋体" w:eastAsia="仿宋_GB2312"/>
              <w:color w:val="FF0000"/>
              <w:sz w:val="32"/>
              <w:szCs w:val="32"/>
            </w:rPr>
          </w:rPrChange>
        </w:rPr>
        <w:pPrChange w:id="24" w:author="ljm" w:date="2025-11-04T09:54:00Z">
          <w:pPr>
            <w:jc w:val="center"/>
          </w:pPr>
        </w:pPrChange>
      </w:pPr>
    </w:p>
    <w:p>
      <w:pPr>
        <w:adjustRightInd w:val="0"/>
        <w:snapToGrid w:val="0"/>
        <w:spacing w:line="360" w:lineRule="exact"/>
        <w:jc w:val="center"/>
        <w:rPr>
          <w:del w:id="28" w:author=" Chloe堂姐" w:date="2025-11-04T10:31:00Z"/>
          <w:rFonts w:eastAsia="仿宋_GB2312"/>
          <w:sz w:val="32"/>
          <w:szCs w:val="32"/>
        </w:rPr>
      </w:pPr>
      <w:del w:id="29" w:author=" Chloe堂姐" w:date="2025-11-04T10:31:00Z">
        <w:r>
          <w:rPr>
            <w:rFonts w:eastAsia="仿宋_GB2312"/>
            <w:sz w:val="32"/>
            <w:szCs w:val="32"/>
          </w:rPr>
          <w:delText>津科</w:delText>
        </w:r>
      </w:del>
      <w:del w:id="30" w:author=" Chloe堂姐" w:date="2025-11-04T10:31:00Z">
        <w:r>
          <w:rPr>
            <w:rFonts w:hint="eastAsia" w:eastAsia="仿宋_GB2312"/>
            <w:sz w:val="32"/>
            <w:szCs w:val="32"/>
          </w:rPr>
          <w:delText>规</w:delText>
        </w:r>
      </w:del>
      <w:del w:id="31" w:author=" Chloe堂姐" w:date="2025-11-04T10:31:00Z">
        <w:r>
          <w:rPr>
            <w:rFonts w:eastAsia="仿宋_GB2312"/>
            <w:sz w:val="32"/>
            <w:szCs w:val="32"/>
          </w:rPr>
          <w:delText>〔</w:delText>
        </w:r>
      </w:del>
      <w:del w:id="32" w:author=" Chloe堂姐" w:date="2025-11-04T10:31:00Z">
        <w:r>
          <w:rPr>
            <w:rFonts w:hint="eastAsia" w:ascii="Nimbus Roman No9 L" w:hAnsi="Nimbus Roman No9 L" w:eastAsia="Nimbus Roman No9 L" w:cs="Nimbus Roman No9 L"/>
            <w:sz w:val="32"/>
            <w:szCs w:val="32"/>
          </w:rPr>
          <w:delText>20</w:delText>
        </w:r>
      </w:del>
      <w:del w:id="33" w:author=" Chloe堂姐" w:date="2025-11-04T10:31:00Z">
        <w:r>
          <w:rPr>
            <w:rFonts w:hint="eastAsia" w:ascii="Nimbus Roman No9 L" w:hAnsi="Nimbus Roman No9 L" w:cs="Nimbus Roman No9 L"/>
            <w:sz w:val="32"/>
            <w:szCs w:val="32"/>
          </w:rPr>
          <w:delText>25</w:delText>
        </w:r>
      </w:del>
      <w:del w:id="34" w:author=" Chloe堂姐" w:date="2025-11-04T10:31:00Z">
        <w:r>
          <w:rPr>
            <w:rFonts w:eastAsia="仿宋_GB2312"/>
            <w:sz w:val="32"/>
            <w:szCs w:val="32"/>
          </w:rPr>
          <w:delText>〕</w:delText>
        </w:r>
      </w:del>
      <w:del w:id="35" w:author=" Chloe堂姐" w:date="2025-11-04T10:31:00Z">
        <w:r>
          <w:rPr>
            <w:rFonts w:ascii="Nimbus Roman No9 L" w:hAnsi="Nimbus Roman No9 L" w:cs="Nimbus Roman No9 L"/>
            <w:sz w:val="32"/>
            <w:szCs w:val="32"/>
            <w:lang w:val="en"/>
          </w:rPr>
          <w:delText>1</w:delText>
        </w:r>
      </w:del>
      <w:del w:id="36" w:author=" Chloe堂姐" w:date="2025-11-04T10:31:00Z">
        <w:r>
          <w:rPr>
            <w:rFonts w:eastAsia="仿宋_GB2312"/>
            <w:sz w:val="32"/>
            <w:szCs w:val="32"/>
          </w:rPr>
          <w:delText>号</w:delText>
        </w:r>
      </w:del>
    </w:p>
    <w:p>
      <w:pPr>
        <w:adjustRightInd w:val="0"/>
        <w:snapToGrid w:val="0"/>
        <w:spacing w:line="560" w:lineRule="exact"/>
        <w:rPr>
          <w:ins w:id="37" w:author="ljm" w:date="2025-11-04T09:54:00Z"/>
          <w:del w:id="38" w:author=" Chloe堂姐" w:date="2025-11-04T10:31:00Z"/>
          <w:rFonts w:hint="eastAsia" w:ascii="宋体" w:hAnsi="宋体"/>
          <w:sz w:val="32"/>
          <w:szCs w:val="32"/>
        </w:rPr>
      </w:pPr>
    </w:p>
    <w:p>
      <w:pPr>
        <w:spacing w:line="360" w:lineRule="exact"/>
        <w:jc w:val="center"/>
        <w:rPr>
          <w:del w:id="39" w:author=" Chloe堂姐" w:date="2025-11-04T10:31:00Z"/>
          <w:rFonts w:ascii="宋体" w:hAnsi="宋体"/>
          <w:sz w:val="32"/>
          <w:szCs w:val="32"/>
        </w:rPr>
      </w:pPr>
      <w:del w:id="40" w:author=" Chloe堂姐" w:date="2025-11-04T10:31:00Z">
        <w:r>
          <w:rPr>
            <w:rFonts w:hint="eastAsia" w:ascii="仿宋_GB2312" w:hAnsi="宋体" w:eastAsia="仿宋_GB2312"/>
            <w:color w:val="FF0000"/>
            <w:sz w:val="32"/>
            <w:szCs w:val="32"/>
          </w:rPr>
          <mc:AlternateContent>
            <mc:Choice Requires="wps">
              <w:drawing>
                <wp:anchor distT="0" distB="0" distL="114300" distR="114300" simplePos="0" relativeHeight="251659264" behindDoc="0" locked="0" layoutInCell="1" allowOverlap="1">
                  <wp:simplePos x="0" y="0"/>
                  <wp:positionH relativeFrom="column">
                    <wp:posOffset>1270</wp:posOffset>
                  </wp:positionH>
                  <wp:positionV relativeFrom="paragraph">
                    <wp:posOffset>121285</wp:posOffset>
                  </wp:positionV>
                  <wp:extent cx="5615940" cy="0"/>
                  <wp:effectExtent l="0" t="9525" r="3810" b="9525"/>
                  <wp:wrapNone/>
                  <wp:docPr id="1" name="直线 31"/>
                  <wp:cNvGraphicFramePr/>
                  <a:graphic xmlns:a="http://schemas.openxmlformats.org/drawingml/2006/main">
                    <a:graphicData uri="http://schemas.microsoft.com/office/word/2010/wordprocessingShape">
                      <wps:wsp>
                        <wps:cNvCnPr/>
                        <wps:spPr>
                          <a:xfrm>
                            <a:off x="0" y="0"/>
                            <a:ext cx="5615940" cy="0"/>
                          </a:xfrm>
                          <a:prstGeom prst="line">
                            <a:avLst/>
                          </a:prstGeom>
                          <a:ln w="19050" cap="flat" cmpd="sng">
                            <a:solidFill>
                              <a:srgbClr val="FF0000"/>
                            </a:solidFill>
                            <a:prstDash val="solid"/>
                            <a:headEnd type="none" w="med" len="med"/>
                            <a:tailEnd type="none" w="med" len="med"/>
                          </a:ln>
                        </wps:spPr>
                        <wps:bodyPr/>
                      </wps:wsp>
                    </a:graphicData>
                  </a:graphic>
                </wp:anchor>
              </w:drawing>
            </mc:Choice>
            <mc:Fallback>
              <w:pict>
                <v:line id="直线 31" o:spid="_x0000_s1026" o:spt="20" style="position:absolute;left:0pt;margin-left:0.1pt;margin-top:9.55pt;height:0pt;width:442.2pt;z-index:251659264;mso-width-relative:page;mso-height-relative:page;" filled="f" stroked="t" coordsize="21600,21600" o:gfxdata="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Gq/qO3UAAAABgEAAA8A&#10;AAAAAAAAAQAgAAAAIgAAAGRycy9kb3ducmV2LnhtbFBLAQIUABQAAAAIAIdO4kAD02wK4gEAANED&#10;AAAOAAAAAAAAAAEAIAAAACMBAABkcnMvZTJvRG9jLnhtbFBLBQYAAAAABgAGAFkBAAB3BQAAAAA=&#10;">
                  <v:fill on="f" focussize="0,0"/>
                  <v:stroke weight="1.5pt" color="#FF0000" joinstyle="round"/>
                  <v:imagedata o:title=""/>
                  <o:lock v:ext="edit" aspectratio="f"/>
                </v:line>
              </w:pict>
            </mc:Fallback>
          </mc:AlternateContent>
        </w:r>
      </w:del>
    </w:p>
    <w:p>
      <w:pPr>
        <w:adjustRightInd w:val="0"/>
        <w:snapToGrid w:val="0"/>
        <w:spacing w:line="560" w:lineRule="exact"/>
        <w:rPr>
          <w:rFonts w:ascii="仿宋_GB2312" w:hAnsi="宋体" w:eastAsia="仿宋_GB2312"/>
          <w:b/>
          <w:sz w:val="44"/>
          <w:szCs w:val="44"/>
        </w:rPr>
      </w:pPr>
    </w:p>
    <w:p>
      <w:pPr>
        <w:adjustRightInd w:val="0"/>
        <w:snapToGrid w:val="0"/>
        <w:spacing w:line="680" w:lineRule="exact"/>
        <w:jc w:val="center"/>
        <w:rPr>
          <w:rFonts w:ascii="方正小标宋简体" w:hAnsi="宋体" w:eastAsia="方正小标宋简体"/>
          <w:snapToGrid w:val="0"/>
          <w:kern w:val="0"/>
          <w:sz w:val="44"/>
          <w:szCs w:val="44"/>
        </w:rPr>
      </w:pPr>
      <w:r>
        <w:rPr>
          <w:rFonts w:hint="eastAsia" w:ascii="方正小标宋简体" w:hAnsi="宋体" w:eastAsia="方正小标宋简体"/>
          <w:snapToGrid w:val="0"/>
          <w:kern w:val="0"/>
          <w:sz w:val="44"/>
          <w:szCs w:val="44"/>
        </w:rPr>
        <w:t>市科技局 市财政局关于修订《天津市</w:t>
      </w:r>
    </w:p>
    <w:p>
      <w:pPr>
        <w:adjustRightInd w:val="0"/>
        <w:snapToGrid w:val="0"/>
        <w:spacing w:line="680" w:lineRule="exact"/>
        <w:jc w:val="center"/>
        <w:rPr>
          <w:rFonts w:ascii="方正小标宋简体" w:hAnsi="宋体" w:eastAsia="方正小标宋简体"/>
          <w:snapToGrid w:val="0"/>
          <w:kern w:val="0"/>
          <w:sz w:val="44"/>
          <w:szCs w:val="44"/>
        </w:rPr>
      </w:pPr>
      <w:r>
        <w:rPr>
          <w:rFonts w:hint="eastAsia" w:ascii="方正小标宋简体" w:hAnsi="宋体" w:eastAsia="方正小标宋简体"/>
          <w:snapToGrid w:val="0"/>
          <w:kern w:val="0"/>
          <w:sz w:val="44"/>
          <w:szCs w:val="44"/>
        </w:rPr>
        <w:t>天使投资引导基金管理暂行办法》的通知</w:t>
      </w:r>
    </w:p>
    <w:p>
      <w:pPr>
        <w:adjustRightInd w:val="0"/>
        <w:snapToGrid w:val="0"/>
        <w:spacing w:line="560" w:lineRule="exact"/>
        <w:rPr>
          <w:rFonts w:ascii="仿宋_GB2312" w:eastAsia="仿宋_GB2312"/>
          <w:snapToGrid w:val="0"/>
          <w:kern w:val="0"/>
          <w:sz w:val="32"/>
          <w:szCs w:val="32"/>
        </w:rPr>
      </w:pPr>
    </w:p>
    <w:p>
      <w:pPr>
        <w:adjustRightInd w:val="0"/>
        <w:snapToGrid w:val="0"/>
        <w:spacing w:line="480" w:lineRule="exact"/>
        <w:rPr>
          <w:rFonts w:eastAsia="仿宋_GB2312"/>
          <w:snapToGrid w:val="0"/>
          <w:kern w:val="0"/>
          <w:sz w:val="32"/>
          <w:szCs w:val="32"/>
        </w:rPr>
      </w:pPr>
      <w:r>
        <w:rPr>
          <w:rFonts w:eastAsia="仿宋_GB2312"/>
          <w:snapToGrid w:val="0"/>
          <w:kern w:val="0"/>
          <w:sz w:val="32"/>
          <w:szCs w:val="32"/>
        </w:rPr>
        <w:t>各有关单位：</w:t>
      </w:r>
    </w:p>
    <w:p>
      <w:pPr>
        <w:tabs>
          <w:tab w:val="left" w:pos="7513"/>
          <w:tab w:val="left" w:pos="8647"/>
        </w:tabs>
        <w:adjustRightInd w:val="0"/>
        <w:snapToGrid w:val="0"/>
        <w:spacing w:line="480" w:lineRule="exact"/>
        <w:ind w:firstLine="606" w:firstLineChars="200"/>
        <w:rPr>
          <w:rFonts w:eastAsia="仿宋_GB2312"/>
          <w:snapToGrid w:val="0"/>
          <w:kern w:val="0"/>
          <w:sz w:val="32"/>
          <w:szCs w:val="32"/>
        </w:rPr>
      </w:pPr>
      <w:r>
        <w:rPr>
          <w:rFonts w:eastAsia="仿宋_GB2312"/>
          <w:sz w:val="32"/>
          <w:szCs w:val="32"/>
        </w:rPr>
        <w:t>经市委、市政府同意，市科技局、市财政局对《天津市天使投资引导基金管理暂行办法（津科规〔2022〕4号）》进行了修订，现将修订后的《天津市天使投资引导基金管理办法》印发给你们，请遵照执行。</w:t>
      </w:r>
    </w:p>
    <w:p>
      <w:pPr>
        <w:tabs>
          <w:tab w:val="left" w:pos="8647"/>
        </w:tabs>
        <w:adjustRightInd w:val="0"/>
        <w:snapToGrid w:val="0"/>
        <w:spacing w:line="480" w:lineRule="exact"/>
        <w:ind w:firstLine="606" w:firstLineChars="200"/>
        <w:rPr>
          <w:rFonts w:eastAsia="仿宋_GB2312"/>
          <w:snapToGrid w:val="0"/>
          <w:kern w:val="0"/>
          <w:sz w:val="32"/>
          <w:szCs w:val="32"/>
        </w:rPr>
      </w:pPr>
    </w:p>
    <w:p>
      <w:pPr>
        <w:tabs>
          <w:tab w:val="left" w:pos="8647"/>
        </w:tabs>
        <w:adjustRightInd w:val="0"/>
        <w:snapToGrid w:val="0"/>
        <w:spacing w:line="480" w:lineRule="exact"/>
        <w:ind w:firstLine="606" w:firstLineChars="200"/>
        <w:rPr>
          <w:rFonts w:eastAsia="仿宋_GB2312"/>
          <w:snapToGrid w:val="0"/>
          <w:kern w:val="0"/>
          <w:sz w:val="32"/>
          <w:szCs w:val="32"/>
        </w:rPr>
      </w:pPr>
    </w:p>
    <w:p>
      <w:pPr>
        <w:tabs>
          <w:tab w:val="left" w:pos="6379"/>
          <w:tab w:val="left" w:pos="6521"/>
          <w:tab w:val="left" w:pos="6663"/>
        </w:tabs>
        <w:adjustRightInd w:val="0"/>
        <w:snapToGrid w:val="0"/>
        <w:spacing w:line="480" w:lineRule="exact"/>
        <w:ind w:firstLine="3939" w:firstLineChars="1300"/>
        <w:rPr>
          <w:rFonts w:hint="eastAsia" w:eastAsia="仿宋_GB2312"/>
          <w:snapToGrid w:val="0"/>
          <w:kern w:val="0"/>
          <w:sz w:val="32"/>
          <w:szCs w:val="32"/>
          <w:lang w:val="en-US" w:eastAsia="zh-CN"/>
        </w:rPr>
        <w:pPrChange w:id="42" w:author=" Chloe堂姐" w:date="2025-11-04T10:31:31Z">
          <w:pPr>
            <w:tabs>
              <w:tab w:val="left" w:pos="6379"/>
              <w:tab w:val="left" w:pos="6521"/>
              <w:tab w:val="left" w:pos="6663"/>
            </w:tabs>
            <w:adjustRightInd w:val="0"/>
            <w:snapToGrid w:val="0"/>
            <w:spacing w:line="480" w:lineRule="exact"/>
            <w:ind w:firstLine="605" w:firstLineChars="200"/>
          </w:pPr>
        </w:pPrChange>
      </w:pPr>
      <w:r>
        <w:rPr>
          <w:rFonts w:eastAsia="仿宋_GB2312"/>
          <w:snapToGrid w:val="0"/>
          <w:kern w:val="0"/>
          <w:sz w:val="32"/>
          <w:szCs w:val="32"/>
        </w:rPr>
        <w:t>天津市科学技术局</w:t>
      </w:r>
      <w:del w:id="43" w:author=" Chloe堂姐" w:date="2025-11-04T10:31:14Z">
        <w:r>
          <w:rPr>
            <w:rFonts w:hint="default" w:eastAsia="仿宋_GB2312"/>
            <w:snapToGrid w:val="0"/>
            <w:kern w:val="0"/>
            <w:sz w:val="32"/>
            <w:szCs w:val="32"/>
            <w:lang w:val="en-US"/>
          </w:rPr>
          <w:delText xml:space="preserve">               </w:delText>
        </w:r>
      </w:del>
      <w:ins w:id="44" w:author=" Chloe堂姐" w:date="2025-11-04T10:31:14Z">
        <w:r>
          <w:rPr>
            <w:rFonts w:hint="eastAsia" w:eastAsia="仿宋_GB2312"/>
            <w:snapToGrid w:val="0"/>
            <w:kern w:val="0"/>
            <w:sz w:val="32"/>
            <w:szCs w:val="32"/>
            <w:lang w:val="en-US" w:eastAsia="zh-CN"/>
          </w:rPr>
          <w:t xml:space="preserve">  </w:t>
        </w:r>
      </w:ins>
      <w:r>
        <w:rPr>
          <w:rFonts w:eastAsia="仿宋_GB2312"/>
          <w:snapToGrid w:val="0"/>
          <w:kern w:val="0"/>
          <w:sz w:val="32"/>
          <w:szCs w:val="32"/>
        </w:rPr>
        <w:t>天津市财政局</w:t>
      </w:r>
    </w:p>
    <w:p>
      <w:pPr>
        <w:tabs>
          <w:tab w:val="left" w:pos="5245"/>
          <w:tab w:val="left" w:pos="5387"/>
          <w:tab w:val="left" w:pos="7513"/>
        </w:tabs>
        <w:adjustRightInd w:val="0"/>
        <w:snapToGrid w:val="0"/>
        <w:spacing w:line="480" w:lineRule="exact"/>
        <w:ind w:firstLine="606" w:firstLineChars="200"/>
        <w:rPr>
          <w:rFonts w:eastAsia="仿宋_GB2312"/>
          <w:snapToGrid w:val="0"/>
          <w:kern w:val="0"/>
          <w:sz w:val="32"/>
          <w:szCs w:val="32"/>
        </w:rPr>
      </w:pPr>
      <w:r>
        <w:rPr>
          <w:rFonts w:eastAsia="仿宋_GB2312"/>
          <w:snapToGrid w:val="0"/>
          <w:kern w:val="0"/>
          <w:sz w:val="32"/>
          <w:szCs w:val="32"/>
        </w:rPr>
        <w:t xml:space="preserve">                             </w:t>
      </w:r>
      <w:r>
        <w:rPr>
          <w:rFonts w:hint="eastAsia" w:eastAsia="仿宋_GB2312"/>
          <w:snapToGrid w:val="0"/>
          <w:kern w:val="0"/>
          <w:sz w:val="32"/>
          <w:szCs w:val="32"/>
        </w:rPr>
        <w:t xml:space="preserve"> </w:t>
      </w:r>
      <w:del w:id="45" w:author=" Chloe堂姐" w:date="2025-11-04T10:31:36Z">
        <w:r>
          <w:rPr>
            <w:rFonts w:hint="eastAsia" w:eastAsia="仿宋_GB2312"/>
            <w:snapToGrid w:val="0"/>
            <w:kern w:val="0"/>
            <w:sz w:val="32"/>
            <w:szCs w:val="32"/>
          </w:rPr>
          <w:delText xml:space="preserve"> </w:delText>
        </w:r>
      </w:del>
      <w:r>
        <w:rPr>
          <w:rFonts w:eastAsia="仿宋_GB2312"/>
          <w:snapToGrid w:val="0"/>
          <w:kern w:val="0"/>
          <w:sz w:val="32"/>
          <w:szCs w:val="32"/>
        </w:rPr>
        <w:t>2025年</w:t>
      </w:r>
      <w:r>
        <w:rPr>
          <w:rFonts w:eastAsia="仿宋_GB2312"/>
          <w:snapToGrid w:val="0"/>
          <w:kern w:val="0"/>
          <w:sz w:val="32"/>
          <w:szCs w:val="32"/>
          <w:lang w:val="en"/>
        </w:rPr>
        <w:t>9</w:t>
      </w:r>
      <w:r>
        <w:rPr>
          <w:rFonts w:eastAsia="仿宋_GB2312"/>
          <w:snapToGrid w:val="0"/>
          <w:kern w:val="0"/>
          <w:sz w:val="32"/>
          <w:szCs w:val="32"/>
        </w:rPr>
        <w:t>月</w:t>
      </w:r>
      <w:r>
        <w:rPr>
          <w:rFonts w:eastAsia="仿宋_GB2312"/>
          <w:snapToGrid w:val="0"/>
          <w:kern w:val="0"/>
          <w:sz w:val="32"/>
          <w:szCs w:val="32"/>
          <w:lang w:val="en"/>
        </w:rPr>
        <w:t>23</w:t>
      </w:r>
      <w:r>
        <w:rPr>
          <w:rFonts w:eastAsia="仿宋_GB2312"/>
          <w:snapToGrid w:val="0"/>
          <w:kern w:val="0"/>
          <w:sz w:val="32"/>
          <w:szCs w:val="32"/>
        </w:rPr>
        <w:t>日</w:t>
      </w:r>
    </w:p>
    <w:p>
      <w:pPr>
        <w:adjustRightInd w:val="0"/>
        <w:spacing w:line="480" w:lineRule="exact"/>
        <w:ind w:firstLine="606" w:firstLineChars="200"/>
        <w:rPr>
          <w:ins w:id="46" w:author="ljm" w:date="2025-11-04T09:54:00Z"/>
          <w:rFonts w:hint="eastAsia" w:eastAsia="仿宋_GB2312"/>
          <w:snapToGrid w:val="0"/>
          <w:kern w:val="0"/>
          <w:sz w:val="32"/>
          <w:szCs w:val="32"/>
        </w:rPr>
      </w:pPr>
      <w:r>
        <w:rPr>
          <w:rFonts w:eastAsia="仿宋_GB2312"/>
          <w:snapToGrid w:val="0"/>
          <w:kern w:val="0"/>
          <w:sz w:val="32"/>
          <w:szCs w:val="32"/>
        </w:rPr>
        <w:t>（此件主动公开）</w:t>
      </w:r>
    </w:p>
    <w:p>
      <w:pPr>
        <w:pStyle w:val="2"/>
        <w:adjustRightInd w:val="0"/>
        <w:spacing w:line="480" w:lineRule="exact"/>
        <w:ind w:firstLine="385" w:firstLineChars="200"/>
        <w:rPr>
          <w:ins w:id="48" w:author="ljm" w:date="2025-11-04T09:54:00Z"/>
          <w:rFonts w:hint="eastAsia"/>
        </w:rPr>
        <w:pPrChange w:id="47" w:author="ljm" w:date="2025-11-04T09:54:00Z">
          <w:pPr>
            <w:adjustRightInd w:val="0"/>
            <w:spacing w:line="480" w:lineRule="exact"/>
            <w:ind w:firstLine="385" w:firstLineChars="200"/>
          </w:pPr>
        </w:pPrChange>
      </w:pPr>
    </w:p>
    <w:p>
      <w:pPr>
        <w:adjustRightInd/>
        <w:spacing w:line="240" w:lineRule="auto"/>
        <w:ind w:firstLine="0" w:firstLineChars="0"/>
        <w:rPr>
          <w:ins w:id="50" w:author="ljm" w:date="2025-11-04T09:54:00Z"/>
          <w:rFonts w:hint="eastAsia"/>
        </w:rPr>
        <w:pPrChange w:id="49" w:author="ljm" w:date="2025-11-04T09:54:00Z">
          <w:pPr>
            <w:adjustRightInd w:val="0"/>
            <w:spacing w:line="480" w:lineRule="exact"/>
            <w:ind w:firstLine="385" w:firstLineChars="200"/>
          </w:pPr>
        </w:pPrChange>
      </w:pPr>
    </w:p>
    <w:p>
      <w:pPr>
        <w:pStyle w:val="2"/>
        <w:adjustRightInd w:val="0"/>
        <w:spacing w:line="480" w:lineRule="exact"/>
        <w:ind w:firstLine="605" w:firstLineChars="200"/>
        <w:rPr>
          <w:rFonts w:eastAsia="仿宋_GB2312"/>
          <w:snapToGrid w:val="0"/>
          <w:kern w:val="0"/>
          <w:sz w:val="32"/>
          <w:szCs w:val="32"/>
        </w:rPr>
        <w:pPrChange w:id="51" w:author="ljm" w:date="2025-11-04T09:54:00Z">
          <w:pPr>
            <w:adjustRightInd w:val="0"/>
            <w:spacing w:line="480" w:lineRule="exact"/>
            <w:ind w:firstLine="605" w:firstLineChars="200"/>
          </w:pPr>
        </w:pPrChange>
      </w:pPr>
    </w:p>
    <w:p>
      <w:pPr>
        <w:pStyle w:val="3"/>
        <w:tabs>
          <w:tab w:val="left" w:pos="7920"/>
        </w:tabs>
        <w:snapToGrid w:val="0"/>
        <w:spacing w:line="560" w:lineRule="exact"/>
        <w:ind w:firstLine="0" w:firstLineChars="0"/>
        <w:jc w:val="center"/>
        <w:rPr>
          <w:rFonts w:eastAsia="方正小标宋简体"/>
          <w:sz w:val="44"/>
          <w:szCs w:val="44"/>
        </w:rPr>
      </w:pPr>
      <w:r>
        <w:rPr>
          <w:rFonts w:eastAsia="方正小标宋简体"/>
          <w:sz w:val="44"/>
          <w:szCs w:val="44"/>
        </w:rPr>
        <w:t>天津市天使投资</w:t>
      </w:r>
      <w:bookmarkStart w:id="0" w:name="_GoBack"/>
      <w:bookmarkEnd w:id="0"/>
      <w:r>
        <w:rPr>
          <w:rFonts w:eastAsia="方正小标宋简体"/>
          <w:sz w:val="44"/>
          <w:szCs w:val="44"/>
        </w:rPr>
        <w:t>引导基金管理办法</w:t>
      </w:r>
    </w:p>
    <w:p>
      <w:pPr>
        <w:pStyle w:val="3"/>
        <w:tabs>
          <w:tab w:val="left" w:pos="7920"/>
        </w:tabs>
        <w:spacing w:line="560" w:lineRule="exact"/>
        <w:ind w:firstLine="0" w:firstLineChars="0"/>
        <w:jc w:val="center"/>
        <w:rPr>
          <w:rFonts w:eastAsia="黑体"/>
          <w:szCs w:val="32"/>
        </w:rPr>
      </w:pPr>
    </w:p>
    <w:p>
      <w:pPr>
        <w:pStyle w:val="3"/>
        <w:tabs>
          <w:tab w:val="left" w:pos="7920"/>
        </w:tabs>
        <w:spacing w:line="560" w:lineRule="exact"/>
        <w:ind w:firstLine="0" w:firstLineChars="0"/>
        <w:jc w:val="center"/>
        <w:rPr>
          <w:rFonts w:eastAsia="黑体"/>
          <w:szCs w:val="32"/>
        </w:rPr>
      </w:pPr>
      <w:r>
        <w:rPr>
          <w:rFonts w:eastAsia="黑体"/>
          <w:szCs w:val="32"/>
        </w:rPr>
        <w:t>第一章　总　则</w:t>
      </w:r>
    </w:p>
    <w:p>
      <w:pPr>
        <w:pStyle w:val="3"/>
        <w:tabs>
          <w:tab w:val="left" w:pos="7920"/>
        </w:tabs>
        <w:spacing w:line="560" w:lineRule="exact"/>
        <w:ind w:firstLine="606" w:firstLineChars="200"/>
        <w:rPr>
          <w:rFonts w:eastAsia="仿宋_GB2312"/>
          <w:szCs w:val="32"/>
        </w:rPr>
      </w:pPr>
    </w:p>
    <w:p>
      <w:pPr>
        <w:pStyle w:val="3"/>
        <w:tabs>
          <w:tab w:val="left" w:pos="7920"/>
        </w:tabs>
        <w:spacing w:line="560" w:lineRule="exact"/>
        <w:ind w:firstLine="606" w:firstLineChars="200"/>
        <w:rPr>
          <w:rFonts w:eastAsia="仿宋_GB2312"/>
          <w:szCs w:val="32"/>
        </w:rPr>
      </w:pPr>
      <w:r>
        <w:rPr>
          <w:rFonts w:eastAsia="黑体"/>
          <w:szCs w:val="32"/>
        </w:rPr>
        <w:t>第一条</w:t>
      </w:r>
      <w:r>
        <w:rPr>
          <w:rFonts w:eastAsia="仿宋_GB2312"/>
          <w:szCs w:val="32"/>
        </w:rPr>
        <w:t>　为贯彻落实《促进创业投资高质量发展的若干政策措施》（国办发〔</w:t>
      </w:r>
      <w:r>
        <w:rPr>
          <w:rFonts w:eastAsia="Nimbus Roman No9 L"/>
          <w:szCs w:val="32"/>
        </w:rPr>
        <w:t>20</w:t>
      </w:r>
      <w:r>
        <w:rPr>
          <w:szCs w:val="32"/>
        </w:rPr>
        <w:t>24</w:t>
      </w:r>
      <w:r>
        <w:rPr>
          <w:rFonts w:eastAsia="仿宋_GB2312"/>
          <w:szCs w:val="32"/>
        </w:rPr>
        <w:t>〕31号）《国务院办公厅关于促进政府投资基金高质量发展的指导意见》（国办发〔</w:t>
      </w:r>
      <w:r>
        <w:rPr>
          <w:rFonts w:eastAsia="Nimbus Roman No9 L"/>
          <w:szCs w:val="32"/>
        </w:rPr>
        <w:t>20</w:t>
      </w:r>
      <w:r>
        <w:rPr>
          <w:szCs w:val="32"/>
        </w:rPr>
        <w:t>25</w:t>
      </w:r>
      <w:r>
        <w:rPr>
          <w:rFonts w:eastAsia="仿宋_GB2312"/>
          <w:szCs w:val="32"/>
        </w:rPr>
        <w:t>〕1号）等文件精神，加快推进天开高教科创园高质量发展，持续打造自主创新重要源头和原始创新主要策源地，进一步引导社会资本投早、投小、投长期、投硬科技，加快培育未来产业，规范天津市天使投资引导基金（以下称天津市天使母基金）</w:t>
      </w:r>
      <w:r>
        <w:rPr>
          <w:rFonts w:hint="eastAsia" w:eastAsia="仿宋_GB2312"/>
          <w:szCs w:val="32"/>
        </w:rPr>
        <w:t>管理</w:t>
      </w:r>
      <w:r>
        <w:rPr>
          <w:rFonts w:eastAsia="仿宋_GB2312"/>
          <w:szCs w:val="32"/>
        </w:rPr>
        <w:t>，制定本办法。</w:t>
      </w:r>
    </w:p>
    <w:p>
      <w:pPr>
        <w:pStyle w:val="3"/>
        <w:tabs>
          <w:tab w:val="left" w:pos="7920"/>
        </w:tabs>
        <w:spacing w:line="560" w:lineRule="exact"/>
        <w:ind w:firstLine="606" w:firstLineChars="200"/>
        <w:rPr>
          <w:rFonts w:eastAsia="仿宋_GB2312"/>
          <w:szCs w:val="32"/>
        </w:rPr>
      </w:pPr>
      <w:r>
        <w:rPr>
          <w:rFonts w:eastAsia="黑体"/>
          <w:szCs w:val="32"/>
        </w:rPr>
        <w:t>第二条</w:t>
      </w:r>
      <w:r>
        <w:rPr>
          <w:rFonts w:eastAsia="仿宋_GB2312"/>
          <w:szCs w:val="32"/>
        </w:rPr>
        <w:t>　天津市天使母基金目标总规模100亿元，首期40亿元，采用“1+N”模式，设立市、区两级联动的天使母基金群。市级层面成立天津市天使投资引导基金合伙企业（有限合伙）（以下称市级天使母基金）</w:t>
      </w:r>
      <w:r>
        <w:rPr>
          <w:rFonts w:hint="eastAsia" w:eastAsia="仿宋_GB2312"/>
          <w:szCs w:val="32"/>
        </w:rPr>
        <w:t>，</w:t>
      </w:r>
      <w:r>
        <w:rPr>
          <w:rFonts w:eastAsia="仿宋_GB2312"/>
          <w:szCs w:val="32"/>
        </w:rPr>
        <w:t>涉及资金按照本办法有关规定管理。在海河产业引导基金联合相关区域设立的区域性产业基金中，设定一定比例作为区级天使母基金额度（以下简称区级天使母基金，区级天使母基金不再单独设立企业主体），同时鼓励相关区域采取其他方式设立天使母基金，涉及资金可参照本办法有关规定或另行制定相关制度管理。</w:t>
      </w:r>
    </w:p>
    <w:p>
      <w:pPr>
        <w:pStyle w:val="3"/>
        <w:tabs>
          <w:tab w:val="left" w:pos="7920"/>
        </w:tabs>
        <w:spacing w:line="560" w:lineRule="exact"/>
        <w:ind w:firstLine="606" w:firstLineChars="200"/>
        <w:rPr>
          <w:rFonts w:eastAsia="仿宋_GB2312"/>
          <w:szCs w:val="32"/>
        </w:rPr>
      </w:pPr>
      <w:r>
        <w:rPr>
          <w:rFonts w:eastAsia="黑体"/>
          <w:szCs w:val="32"/>
        </w:rPr>
        <w:t>第三条</w:t>
      </w:r>
      <w:r>
        <w:rPr>
          <w:rFonts w:eastAsia="仿宋_GB2312"/>
          <w:szCs w:val="32"/>
        </w:rPr>
        <w:t>　市级天使母基金采取有限合伙制的组织形式，遵循政府引导、市场运作、科学决策、防范风险的管理原则，运作模式为参投市场化子基金和直投基金。</w:t>
      </w:r>
    </w:p>
    <w:p>
      <w:pPr>
        <w:pStyle w:val="3"/>
        <w:tabs>
          <w:tab w:val="left" w:pos="7920"/>
        </w:tabs>
        <w:spacing w:line="560" w:lineRule="exact"/>
        <w:ind w:firstLine="606" w:firstLineChars="200"/>
        <w:rPr>
          <w:rFonts w:eastAsia="仿宋_GB2312"/>
          <w:szCs w:val="32"/>
        </w:rPr>
      </w:pPr>
      <w:r>
        <w:rPr>
          <w:rFonts w:eastAsia="仿宋_GB2312"/>
          <w:szCs w:val="32"/>
        </w:rPr>
        <w:t>直投基金可跟投市场化子基金投资的项目，也可直接或通过项目基金投资有利于天使母基金政策目标实现、壮大基金实力的优质项目。</w:t>
      </w:r>
    </w:p>
    <w:p>
      <w:pPr>
        <w:pStyle w:val="3"/>
        <w:tabs>
          <w:tab w:val="left" w:pos="7920"/>
        </w:tabs>
        <w:spacing w:line="560" w:lineRule="exact"/>
        <w:ind w:firstLine="606" w:firstLineChars="200"/>
        <w:rPr>
          <w:rFonts w:eastAsia="仿宋_GB2312"/>
          <w:szCs w:val="32"/>
        </w:rPr>
      </w:pPr>
      <w:r>
        <w:rPr>
          <w:rFonts w:eastAsia="仿宋_GB2312"/>
          <w:szCs w:val="32"/>
        </w:rPr>
        <w:t>市级天使母基金用于市场化直投的资金不高于市级天使母基金实缴总额的15%，直投基金对单个企业的累计投资额不超过直投基金认缴出资总额的20%。</w:t>
      </w:r>
    </w:p>
    <w:p>
      <w:pPr>
        <w:pStyle w:val="3"/>
        <w:tabs>
          <w:tab w:val="left" w:pos="7920"/>
        </w:tabs>
        <w:spacing w:line="560" w:lineRule="exact"/>
        <w:ind w:firstLine="606" w:firstLineChars="200"/>
        <w:rPr>
          <w:rFonts w:eastAsia="仿宋_GB2312"/>
          <w:szCs w:val="32"/>
        </w:rPr>
      </w:pPr>
      <w:r>
        <w:rPr>
          <w:rFonts w:eastAsia="黑体"/>
          <w:szCs w:val="32"/>
        </w:rPr>
        <w:t>第四条</w:t>
      </w:r>
      <w:r>
        <w:rPr>
          <w:rFonts w:eastAsia="仿宋_GB2312"/>
          <w:szCs w:val="32"/>
        </w:rPr>
        <w:t>　市级天使母基金委托天津市海河产业基金管理有限公司为市级天使母基金的管理机构（以下称天使母基金管理公司），市级天使母基金存续期内产生的资金利息和从子基金回收的本金、收益滚动使用。</w:t>
      </w:r>
    </w:p>
    <w:p>
      <w:pPr>
        <w:pStyle w:val="3"/>
        <w:tabs>
          <w:tab w:val="left" w:pos="7920"/>
        </w:tabs>
        <w:spacing w:line="560" w:lineRule="exact"/>
        <w:ind w:firstLine="606" w:firstLineChars="200"/>
        <w:rPr>
          <w:rFonts w:eastAsia="仿宋_GB2312"/>
          <w:szCs w:val="32"/>
        </w:rPr>
      </w:pPr>
      <w:r>
        <w:rPr>
          <w:rFonts w:eastAsia="仿宋_GB2312"/>
          <w:szCs w:val="32"/>
        </w:rPr>
        <w:t>市级天使母基金是海河产业引导基金出资参与设立的一支特殊母基金。海河产业引导基金向市级天使母基金出资额度确定、出资方案调整、从市级天使母基金退出等重大事项应符合海河产业引导基金的管理要求，市级天使母基金募资情况、投资情况纳入海河产业引导基金统计报告范围。</w:t>
      </w:r>
    </w:p>
    <w:p>
      <w:pPr>
        <w:pStyle w:val="3"/>
        <w:tabs>
          <w:tab w:val="left" w:pos="7920"/>
        </w:tabs>
        <w:spacing w:line="560" w:lineRule="exact"/>
        <w:ind w:firstLine="0" w:firstLineChars="0"/>
        <w:jc w:val="center"/>
        <w:rPr>
          <w:rFonts w:eastAsia="黑体"/>
          <w:szCs w:val="32"/>
        </w:rPr>
      </w:pPr>
    </w:p>
    <w:p>
      <w:pPr>
        <w:pStyle w:val="3"/>
        <w:tabs>
          <w:tab w:val="left" w:pos="7920"/>
        </w:tabs>
        <w:spacing w:line="560" w:lineRule="exact"/>
        <w:ind w:firstLine="0" w:firstLineChars="0"/>
        <w:jc w:val="center"/>
        <w:rPr>
          <w:rFonts w:eastAsia="黑体"/>
          <w:szCs w:val="32"/>
        </w:rPr>
      </w:pPr>
      <w:r>
        <w:rPr>
          <w:rFonts w:eastAsia="黑体"/>
          <w:szCs w:val="32"/>
        </w:rPr>
        <w:t>第二章　市级天使母基金管理架构</w:t>
      </w:r>
    </w:p>
    <w:p>
      <w:pPr>
        <w:pStyle w:val="3"/>
        <w:tabs>
          <w:tab w:val="left" w:pos="7920"/>
        </w:tabs>
        <w:spacing w:line="560" w:lineRule="exact"/>
        <w:ind w:firstLine="606" w:firstLineChars="200"/>
        <w:rPr>
          <w:rFonts w:eastAsia="仿宋_GB2312"/>
          <w:szCs w:val="32"/>
          <w:lang w:val="en"/>
        </w:rPr>
      </w:pPr>
    </w:p>
    <w:p>
      <w:pPr>
        <w:pStyle w:val="3"/>
        <w:tabs>
          <w:tab w:val="left" w:pos="7920"/>
        </w:tabs>
        <w:spacing w:line="560" w:lineRule="exact"/>
        <w:ind w:firstLine="606" w:firstLineChars="200"/>
        <w:rPr>
          <w:rFonts w:eastAsia="仿宋_GB2312"/>
          <w:szCs w:val="32"/>
        </w:rPr>
      </w:pPr>
      <w:r>
        <w:rPr>
          <w:rFonts w:eastAsia="黑体"/>
          <w:szCs w:val="32"/>
        </w:rPr>
        <w:t>第五条</w:t>
      </w:r>
      <w:r>
        <w:rPr>
          <w:rFonts w:eastAsia="仿宋_GB2312"/>
          <w:szCs w:val="32"/>
        </w:rPr>
        <w:t>　市科技局会同市财政局统筹推进市级天使母基金筹备、设立、绩效管理和监督。</w:t>
      </w:r>
    </w:p>
    <w:p>
      <w:pPr>
        <w:pStyle w:val="3"/>
        <w:tabs>
          <w:tab w:val="left" w:pos="7920"/>
        </w:tabs>
        <w:spacing w:line="560" w:lineRule="exact"/>
        <w:ind w:firstLine="606" w:firstLineChars="200"/>
        <w:rPr>
          <w:rFonts w:eastAsia="楷体_GB2312"/>
          <w:szCs w:val="32"/>
        </w:rPr>
      </w:pPr>
      <w:r>
        <w:rPr>
          <w:rFonts w:eastAsia="楷体_GB2312"/>
          <w:szCs w:val="32"/>
        </w:rPr>
        <w:t>（一）市科技局主要职责</w:t>
      </w:r>
    </w:p>
    <w:p>
      <w:pPr>
        <w:pStyle w:val="3"/>
        <w:tabs>
          <w:tab w:val="left" w:pos="7920"/>
        </w:tabs>
        <w:spacing w:line="560" w:lineRule="exact"/>
        <w:ind w:firstLine="606" w:firstLineChars="200"/>
        <w:rPr>
          <w:rFonts w:eastAsia="仿宋_GB2312"/>
          <w:szCs w:val="32"/>
        </w:rPr>
      </w:pPr>
      <w:r>
        <w:rPr>
          <w:rFonts w:eastAsia="仿宋_GB2312"/>
          <w:szCs w:val="32"/>
        </w:rPr>
        <w:t>1．向市级天使母基金投资决策委员会委派观察员，监督投资方向，统筹平衡投资项目；</w:t>
      </w:r>
    </w:p>
    <w:p>
      <w:pPr>
        <w:pStyle w:val="3"/>
        <w:tabs>
          <w:tab w:val="left" w:pos="7920"/>
        </w:tabs>
        <w:spacing w:line="560" w:lineRule="exact"/>
        <w:ind w:firstLine="606" w:firstLineChars="200"/>
        <w:rPr>
          <w:rFonts w:eastAsia="仿宋_GB2312"/>
          <w:szCs w:val="32"/>
        </w:rPr>
      </w:pPr>
      <w:r>
        <w:rPr>
          <w:rFonts w:eastAsia="仿宋_GB2312"/>
          <w:szCs w:val="32"/>
        </w:rPr>
        <w:t>2．由市科技局下属事业单位—天津市科技创新发展中心向市级天使母基金投资决策委员会委派委员，提出专业的审核意见，确保天使母基金科创属性，对违反本办法、</w:t>
      </w:r>
      <w:r>
        <w:rPr>
          <w:rFonts w:hint="eastAsia" w:eastAsia="仿宋_GB2312"/>
          <w:szCs w:val="32"/>
        </w:rPr>
        <w:t>不符合</w:t>
      </w:r>
      <w:r>
        <w:rPr>
          <w:rFonts w:eastAsia="仿宋_GB2312"/>
          <w:szCs w:val="32"/>
        </w:rPr>
        <w:t>支持方向及</w:t>
      </w:r>
      <w:r>
        <w:rPr>
          <w:rFonts w:hint="eastAsia" w:eastAsia="仿宋_GB2312"/>
          <w:szCs w:val="32"/>
        </w:rPr>
        <w:t>不符合</w:t>
      </w:r>
      <w:r>
        <w:rPr>
          <w:rFonts w:eastAsia="仿宋_GB2312"/>
          <w:szCs w:val="32"/>
        </w:rPr>
        <w:t>国家相关规定的投资项目，享有否决权；</w:t>
      </w:r>
    </w:p>
    <w:p>
      <w:pPr>
        <w:pStyle w:val="3"/>
        <w:tabs>
          <w:tab w:val="left" w:pos="7920"/>
        </w:tabs>
        <w:spacing w:line="560" w:lineRule="exact"/>
        <w:ind w:firstLine="606" w:firstLineChars="200"/>
        <w:rPr>
          <w:rFonts w:eastAsia="仿宋_GB2312"/>
          <w:szCs w:val="32"/>
        </w:rPr>
      </w:pPr>
      <w:r>
        <w:rPr>
          <w:rFonts w:eastAsia="仿宋_GB2312"/>
          <w:szCs w:val="32"/>
        </w:rPr>
        <w:t>3．对天使母基金管理公司的相关工作进行部署、检查、指导、绩效管理和监督等工作；</w:t>
      </w:r>
    </w:p>
    <w:p>
      <w:pPr>
        <w:pStyle w:val="3"/>
        <w:tabs>
          <w:tab w:val="left" w:pos="7920"/>
        </w:tabs>
        <w:spacing w:line="560" w:lineRule="exact"/>
        <w:ind w:firstLine="606" w:firstLineChars="200"/>
        <w:rPr>
          <w:rFonts w:eastAsia="仿宋_GB2312"/>
          <w:szCs w:val="32"/>
        </w:rPr>
      </w:pPr>
      <w:r>
        <w:rPr>
          <w:rFonts w:eastAsia="仿宋_GB2312"/>
          <w:szCs w:val="32"/>
        </w:rPr>
        <w:t>4．</w:t>
      </w:r>
      <w:r>
        <w:rPr>
          <w:rFonts w:hint="eastAsia" w:eastAsia="仿宋_GB2312"/>
          <w:szCs w:val="32"/>
        </w:rPr>
        <w:t>配合市财政局</w:t>
      </w:r>
      <w:r>
        <w:rPr>
          <w:rFonts w:eastAsia="仿宋_GB2312"/>
          <w:szCs w:val="32"/>
        </w:rPr>
        <w:t>开展市级天使母基金绩效考核。</w:t>
      </w:r>
    </w:p>
    <w:p>
      <w:pPr>
        <w:pStyle w:val="3"/>
        <w:tabs>
          <w:tab w:val="left" w:pos="7920"/>
        </w:tabs>
        <w:spacing w:line="560" w:lineRule="exact"/>
        <w:ind w:firstLine="606" w:firstLineChars="200"/>
        <w:rPr>
          <w:rFonts w:eastAsia="楷体_GB2312"/>
          <w:szCs w:val="32"/>
        </w:rPr>
      </w:pPr>
      <w:r>
        <w:rPr>
          <w:rFonts w:eastAsia="楷体_GB2312"/>
          <w:szCs w:val="32"/>
        </w:rPr>
        <w:t>（二）市财政局主要职责</w:t>
      </w:r>
    </w:p>
    <w:p>
      <w:pPr>
        <w:pStyle w:val="3"/>
        <w:tabs>
          <w:tab w:val="left" w:pos="7920"/>
        </w:tabs>
        <w:spacing w:line="560" w:lineRule="exact"/>
        <w:ind w:firstLine="606" w:firstLineChars="200"/>
        <w:rPr>
          <w:rFonts w:eastAsia="仿宋_GB2312"/>
          <w:szCs w:val="32"/>
        </w:rPr>
      </w:pPr>
      <w:r>
        <w:rPr>
          <w:rFonts w:eastAsia="仿宋_GB2312"/>
          <w:szCs w:val="32"/>
        </w:rPr>
        <w:t>1．向市级天使母基金投资决策委员会委派观察员，监督投资方向，统筹平衡投资项目；</w:t>
      </w:r>
    </w:p>
    <w:p>
      <w:pPr>
        <w:pStyle w:val="3"/>
        <w:tabs>
          <w:tab w:val="left" w:pos="7920"/>
        </w:tabs>
        <w:spacing w:line="560" w:lineRule="exact"/>
        <w:ind w:firstLine="606" w:firstLineChars="200"/>
        <w:rPr>
          <w:rFonts w:eastAsia="仿宋_GB2312"/>
          <w:szCs w:val="32"/>
        </w:rPr>
      </w:pPr>
      <w:r>
        <w:rPr>
          <w:rFonts w:hint="eastAsia" w:eastAsia="仿宋_GB2312"/>
          <w:szCs w:val="32"/>
        </w:rPr>
        <w:t>2</w:t>
      </w:r>
      <w:r>
        <w:rPr>
          <w:rFonts w:eastAsia="仿宋_GB2312"/>
          <w:szCs w:val="32"/>
        </w:rPr>
        <w:t>．将市级天使母基金出资纳入预算管理</w:t>
      </w:r>
      <w:r>
        <w:rPr>
          <w:rFonts w:hint="eastAsia" w:eastAsia="仿宋_GB2312"/>
          <w:szCs w:val="32"/>
        </w:rPr>
        <w:t>直接出资</w:t>
      </w:r>
      <w:r>
        <w:rPr>
          <w:rFonts w:eastAsia="仿宋_GB2312"/>
          <w:szCs w:val="32"/>
        </w:rPr>
        <w:t>，</w:t>
      </w:r>
      <w:r>
        <w:rPr>
          <w:rFonts w:hint="eastAsia" w:eastAsia="仿宋_GB2312"/>
          <w:szCs w:val="32"/>
        </w:rPr>
        <w:t>并</w:t>
      </w:r>
      <w:r>
        <w:rPr>
          <w:rFonts w:eastAsia="仿宋_GB2312"/>
          <w:szCs w:val="32"/>
        </w:rPr>
        <w:t>委托市科技局下属事业单位—天津市科技创新发展中心</w:t>
      </w:r>
      <w:r>
        <w:rPr>
          <w:rFonts w:hint="eastAsia" w:eastAsia="仿宋_GB2312"/>
          <w:szCs w:val="32"/>
        </w:rPr>
        <w:t>代持，</w:t>
      </w:r>
      <w:r>
        <w:rPr>
          <w:rFonts w:eastAsia="仿宋_GB2312"/>
          <w:szCs w:val="32"/>
        </w:rPr>
        <w:t>统筹安排市级天使母基金的预算资金；</w:t>
      </w:r>
    </w:p>
    <w:p>
      <w:pPr>
        <w:pStyle w:val="3"/>
        <w:tabs>
          <w:tab w:val="left" w:pos="7920"/>
        </w:tabs>
        <w:spacing w:line="560" w:lineRule="exact"/>
        <w:ind w:firstLine="606" w:firstLineChars="200"/>
        <w:rPr>
          <w:rFonts w:eastAsia="仿宋_GB2312"/>
          <w:szCs w:val="32"/>
        </w:rPr>
      </w:pPr>
      <w:r>
        <w:rPr>
          <w:rFonts w:hint="eastAsia" w:eastAsia="仿宋_GB2312"/>
          <w:szCs w:val="32"/>
        </w:rPr>
        <w:t>3</w:t>
      </w:r>
      <w:r>
        <w:rPr>
          <w:rFonts w:eastAsia="仿宋_GB2312"/>
          <w:szCs w:val="32"/>
        </w:rPr>
        <w:t>．</w:t>
      </w:r>
      <w:r>
        <w:rPr>
          <w:rFonts w:hint="eastAsia" w:eastAsia="仿宋_GB2312"/>
          <w:szCs w:val="32"/>
        </w:rPr>
        <w:t>会同市科技局</w:t>
      </w:r>
      <w:r>
        <w:rPr>
          <w:rFonts w:eastAsia="仿宋_GB2312"/>
          <w:szCs w:val="32"/>
        </w:rPr>
        <w:t>开展市级天使母基金绩效考核</w:t>
      </w:r>
      <w:r>
        <w:rPr>
          <w:rFonts w:hint="eastAsia" w:eastAsia="仿宋_GB2312"/>
          <w:szCs w:val="32"/>
        </w:rPr>
        <w:t>，</w:t>
      </w:r>
      <w:r>
        <w:rPr>
          <w:rFonts w:eastAsia="仿宋_GB2312"/>
          <w:szCs w:val="32"/>
        </w:rPr>
        <w:t>根据工作需要适时组织重点绩效评价。</w:t>
      </w:r>
    </w:p>
    <w:p>
      <w:pPr>
        <w:pStyle w:val="3"/>
        <w:tabs>
          <w:tab w:val="left" w:pos="7920"/>
        </w:tabs>
        <w:spacing w:line="560" w:lineRule="exact"/>
        <w:ind w:firstLine="606" w:firstLineChars="200"/>
        <w:rPr>
          <w:rFonts w:eastAsia="仿宋_GB2312"/>
          <w:szCs w:val="32"/>
        </w:rPr>
      </w:pPr>
      <w:r>
        <w:rPr>
          <w:rFonts w:eastAsia="黑体"/>
          <w:szCs w:val="32"/>
        </w:rPr>
        <w:t>第六条</w:t>
      </w:r>
      <w:r>
        <w:rPr>
          <w:rFonts w:eastAsia="仿宋_GB2312"/>
          <w:szCs w:val="32"/>
        </w:rPr>
        <w:t>　天使母基金管理公司负责市级天使母基金的日常管理，主要职责如下：</w:t>
      </w:r>
    </w:p>
    <w:p>
      <w:pPr>
        <w:pStyle w:val="3"/>
        <w:tabs>
          <w:tab w:val="left" w:pos="7920"/>
        </w:tabs>
        <w:spacing w:line="560" w:lineRule="exact"/>
        <w:ind w:firstLine="606" w:firstLineChars="200"/>
        <w:rPr>
          <w:rFonts w:eastAsia="仿宋_GB2312"/>
          <w:szCs w:val="32"/>
        </w:rPr>
      </w:pPr>
      <w:r>
        <w:rPr>
          <w:rFonts w:eastAsia="仿宋_GB2312"/>
          <w:szCs w:val="32"/>
        </w:rPr>
        <w:t>（一）宣传天使母基金管理办法，组织子基金申报和市级天使母基金的市场化</w:t>
      </w:r>
      <w:r>
        <w:rPr>
          <w:rFonts w:hint="eastAsia" w:eastAsia="仿宋_GB2312"/>
          <w:szCs w:val="32"/>
        </w:rPr>
        <w:t>直投</w:t>
      </w:r>
      <w:r>
        <w:rPr>
          <w:rFonts w:eastAsia="仿宋_GB2312"/>
          <w:szCs w:val="32"/>
        </w:rPr>
        <w:t>工作；</w:t>
      </w:r>
    </w:p>
    <w:p>
      <w:pPr>
        <w:pStyle w:val="3"/>
        <w:tabs>
          <w:tab w:val="left" w:pos="7920"/>
        </w:tabs>
        <w:spacing w:line="560" w:lineRule="exact"/>
        <w:ind w:firstLine="606" w:firstLineChars="200"/>
        <w:rPr>
          <w:rFonts w:eastAsia="仿宋_GB2312"/>
          <w:szCs w:val="32"/>
        </w:rPr>
      </w:pPr>
      <w:r>
        <w:rPr>
          <w:rFonts w:eastAsia="仿宋_GB2312"/>
          <w:szCs w:val="32"/>
        </w:rPr>
        <w:t>（二）受理申请市级天使母基金参投的子基金材料，开展形式审查和尽职调查；</w:t>
      </w:r>
    </w:p>
    <w:p>
      <w:pPr>
        <w:pStyle w:val="3"/>
        <w:tabs>
          <w:tab w:val="left" w:pos="7920"/>
        </w:tabs>
        <w:spacing w:line="560" w:lineRule="exact"/>
        <w:ind w:firstLine="606" w:firstLineChars="200"/>
        <w:rPr>
          <w:rFonts w:eastAsia="仿宋_GB2312"/>
          <w:szCs w:val="32"/>
        </w:rPr>
      </w:pPr>
      <w:r>
        <w:rPr>
          <w:rFonts w:eastAsia="仿宋_GB2312"/>
          <w:szCs w:val="32"/>
        </w:rPr>
        <w:t>（三）建立市级天使母基金市场化参投和市场化</w:t>
      </w:r>
      <w:r>
        <w:rPr>
          <w:rFonts w:hint="eastAsia" w:eastAsia="仿宋_GB2312"/>
          <w:szCs w:val="32"/>
        </w:rPr>
        <w:t>直投</w:t>
      </w:r>
      <w:r>
        <w:rPr>
          <w:rFonts w:eastAsia="仿宋_GB2312"/>
          <w:szCs w:val="32"/>
        </w:rPr>
        <w:t>的投资决策机制，组建投资决策委员会，对市级天使母基金投资、管理、退出等重大事项进行决策；</w:t>
      </w:r>
    </w:p>
    <w:p>
      <w:pPr>
        <w:pStyle w:val="3"/>
        <w:tabs>
          <w:tab w:val="left" w:pos="7920"/>
        </w:tabs>
        <w:spacing w:line="560" w:lineRule="exact"/>
        <w:ind w:firstLine="606" w:firstLineChars="200"/>
        <w:rPr>
          <w:rFonts w:eastAsia="仿宋_GB2312"/>
          <w:szCs w:val="32"/>
        </w:rPr>
      </w:pPr>
      <w:r>
        <w:rPr>
          <w:rFonts w:eastAsia="仿宋_GB2312"/>
          <w:szCs w:val="32"/>
        </w:rPr>
        <w:t>（四）承担市级天使母基金的投资、管理、退出等日常投资管理工作，每年年初对上一年度市级天使母基金工作情况进行总结，总结报告报市科技局、市财政局；</w:t>
      </w:r>
    </w:p>
    <w:p>
      <w:pPr>
        <w:pStyle w:val="3"/>
        <w:tabs>
          <w:tab w:val="left" w:pos="7920"/>
        </w:tabs>
        <w:spacing w:line="560" w:lineRule="exact"/>
        <w:ind w:firstLine="606" w:firstLineChars="200"/>
        <w:rPr>
          <w:rFonts w:eastAsia="仿宋_GB2312"/>
          <w:szCs w:val="32"/>
        </w:rPr>
      </w:pPr>
      <w:r>
        <w:rPr>
          <w:rFonts w:eastAsia="仿宋_GB2312"/>
          <w:szCs w:val="32"/>
        </w:rPr>
        <w:t>（五）每季度后45日内向市科技局、市财政局报告天使母基金季度运作情况，及时报告市级天使母基金参投子基金和直投基金的法律文件变更、资本增减、违法违规事件、管理机构变动、清算与解散等重大事项；</w:t>
      </w:r>
    </w:p>
    <w:p>
      <w:pPr>
        <w:pStyle w:val="3"/>
        <w:tabs>
          <w:tab w:val="left" w:pos="7920"/>
        </w:tabs>
        <w:spacing w:line="560" w:lineRule="exact"/>
        <w:ind w:firstLine="606" w:firstLineChars="200"/>
        <w:rPr>
          <w:rFonts w:eastAsia="仿宋_GB2312"/>
          <w:szCs w:val="32"/>
        </w:rPr>
      </w:pPr>
      <w:r>
        <w:rPr>
          <w:rFonts w:eastAsia="仿宋_GB2312"/>
          <w:szCs w:val="32"/>
        </w:rPr>
        <w:t>（六）对市级天使母基金及其子基金所涉及的相关内容负有保密责任；</w:t>
      </w:r>
    </w:p>
    <w:p>
      <w:pPr>
        <w:pStyle w:val="3"/>
        <w:tabs>
          <w:tab w:val="left" w:pos="7920"/>
        </w:tabs>
        <w:spacing w:line="560" w:lineRule="exact"/>
        <w:ind w:firstLine="606" w:firstLineChars="200"/>
        <w:rPr>
          <w:rFonts w:eastAsia="仿宋_GB2312"/>
          <w:szCs w:val="32"/>
        </w:rPr>
      </w:pPr>
      <w:r>
        <w:rPr>
          <w:rFonts w:eastAsia="仿宋_GB2312"/>
          <w:szCs w:val="32"/>
        </w:rPr>
        <w:t>（七）市科技局、市财政局委托的其他相关工作。</w:t>
      </w:r>
    </w:p>
    <w:p>
      <w:pPr>
        <w:pStyle w:val="3"/>
        <w:tabs>
          <w:tab w:val="left" w:pos="7920"/>
        </w:tabs>
        <w:spacing w:line="560" w:lineRule="exact"/>
        <w:ind w:firstLine="606" w:firstLineChars="200"/>
        <w:rPr>
          <w:rFonts w:eastAsia="仿宋_GB2312"/>
          <w:szCs w:val="32"/>
        </w:rPr>
      </w:pPr>
      <w:r>
        <w:rPr>
          <w:rFonts w:eastAsia="黑体"/>
          <w:szCs w:val="32"/>
        </w:rPr>
        <w:t>第七条</w:t>
      </w:r>
      <w:r>
        <w:rPr>
          <w:rFonts w:eastAsia="仿宋_GB2312"/>
          <w:szCs w:val="32"/>
        </w:rPr>
        <w:t>　</w:t>
      </w:r>
      <w:r>
        <w:rPr>
          <w:rFonts w:hint="eastAsia" w:eastAsia="仿宋_GB2312"/>
          <w:szCs w:val="32"/>
        </w:rPr>
        <w:t>市财政局会同</w:t>
      </w:r>
      <w:r>
        <w:rPr>
          <w:rFonts w:eastAsia="仿宋_GB2312"/>
          <w:szCs w:val="32"/>
        </w:rPr>
        <w:t>市科技局</w:t>
      </w:r>
      <w:r>
        <w:rPr>
          <w:rFonts w:hint="eastAsia" w:eastAsia="仿宋_GB2312"/>
          <w:szCs w:val="32"/>
        </w:rPr>
        <w:t>以</w:t>
      </w:r>
      <w:r>
        <w:rPr>
          <w:rFonts w:eastAsia="仿宋_GB2312"/>
          <w:szCs w:val="32"/>
        </w:rPr>
        <w:t>三年</w:t>
      </w:r>
      <w:r>
        <w:rPr>
          <w:rFonts w:hint="eastAsia" w:eastAsia="仿宋_GB2312"/>
          <w:szCs w:val="32"/>
        </w:rPr>
        <w:t>为一个周期，</w:t>
      </w:r>
      <w:r>
        <w:rPr>
          <w:rFonts w:eastAsia="仿宋_GB2312"/>
          <w:szCs w:val="32"/>
        </w:rPr>
        <w:t>对天使母基金管理公司运营市级天使母基金情况进行绩效考核，考核结果分为优秀、合格、不合格三个等次</w:t>
      </w:r>
      <w:r>
        <w:rPr>
          <w:rFonts w:hint="eastAsia" w:eastAsia="仿宋_GB2312"/>
          <w:szCs w:val="32"/>
        </w:rPr>
        <w:t>。每一个考核周期内，前两年参照绩效考核结果最低等次标准预提管理费。第三年开展绩效考核后，按考核结果统一核定三年管理费标准，并对前两年差额部分予以补齐。管理费计提依据为市级天使母基金</w:t>
      </w:r>
      <w:r>
        <w:rPr>
          <w:rFonts w:eastAsia="仿宋_GB2312"/>
          <w:szCs w:val="32"/>
        </w:rPr>
        <w:t>上年末对子基金实缴出资余额（不含直投基金出资）</w:t>
      </w:r>
      <w:r>
        <w:rPr>
          <w:rFonts w:hint="eastAsia" w:eastAsia="仿宋_GB2312"/>
          <w:szCs w:val="32"/>
        </w:rPr>
        <w:t>。</w:t>
      </w:r>
      <w:r>
        <w:rPr>
          <w:rFonts w:eastAsia="仿宋_GB2312"/>
          <w:szCs w:val="32"/>
        </w:rPr>
        <w:t>具体如下：</w:t>
      </w:r>
    </w:p>
    <w:p>
      <w:pPr>
        <w:pStyle w:val="3"/>
        <w:tabs>
          <w:tab w:val="left" w:pos="7920"/>
        </w:tabs>
        <w:spacing w:line="560" w:lineRule="exact"/>
        <w:ind w:firstLine="606" w:firstLineChars="200"/>
        <w:rPr>
          <w:rFonts w:eastAsia="仿宋_GB2312"/>
          <w:szCs w:val="32"/>
        </w:rPr>
      </w:pPr>
      <w:r>
        <w:rPr>
          <w:rFonts w:eastAsia="仿宋_GB2312"/>
          <w:szCs w:val="32"/>
        </w:rPr>
        <w:t>（一）考核结果为优秀等次，年度管理费核定为：10亿元及以下按1.5%、超过10亿元至低于30亿元（含30亿元）部分按1%、超过30亿元部分按0.5%予以支付；</w:t>
      </w:r>
    </w:p>
    <w:p>
      <w:pPr>
        <w:pStyle w:val="3"/>
        <w:tabs>
          <w:tab w:val="left" w:pos="7920"/>
        </w:tabs>
        <w:spacing w:line="560" w:lineRule="exact"/>
        <w:ind w:firstLine="606" w:firstLineChars="200"/>
        <w:rPr>
          <w:rFonts w:eastAsia="仿宋_GB2312"/>
          <w:szCs w:val="32"/>
        </w:rPr>
      </w:pPr>
      <w:r>
        <w:rPr>
          <w:rFonts w:eastAsia="仿宋_GB2312"/>
          <w:szCs w:val="32"/>
        </w:rPr>
        <w:t>（二）考核结果为合格等次，年度管理费按考核结果优秀等次标准的90%支付；</w:t>
      </w:r>
    </w:p>
    <w:p>
      <w:pPr>
        <w:pStyle w:val="3"/>
        <w:tabs>
          <w:tab w:val="left" w:pos="7920"/>
        </w:tabs>
        <w:spacing w:line="560" w:lineRule="exact"/>
        <w:ind w:firstLine="606" w:firstLineChars="200"/>
        <w:rPr>
          <w:rFonts w:eastAsia="仿宋_GB2312"/>
          <w:szCs w:val="32"/>
        </w:rPr>
      </w:pPr>
      <w:r>
        <w:rPr>
          <w:rFonts w:eastAsia="仿宋_GB2312"/>
          <w:szCs w:val="32"/>
        </w:rPr>
        <w:t>（三）考核结果为不合格等次，年度管理费按考核结果优秀等次标准减半支付。</w:t>
      </w:r>
    </w:p>
    <w:p>
      <w:pPr>
        <w:pStyle w:val="3"/>
        <w:tabs>
          <w:tab w:val="left" w:pos="7920"/>
        </w:tabs>
        <w:spacing w:line="560" w:lineRule="exact"/>
        <w:ind w:firstLine="606" w:firstLineChars="200"/>
        <w:rPr>
          <w:rFonts w:eastAsia="仿宋_GB2312"/>
          <w:szCs w:val="32"/>
        </w:rPr>
      </w:pPr>
    </w:p>
    <w:p>
      <w:pPr>
        <w:pStyle w:val="3"/>
        <w:tabs>
          <w:tab w:val="left" w:pos="7920"/>
        </w:tabs>
        <w:spacing w:line="560" w:lineRule="exact"/>
        <w:ind w:firstLine="0" w:firstLineChars="0"/>
        <w:jc w:val="center"/>
        <w:rPr>
          <w:rFonts w:eastAsia="黑体"/>
          <w:szCs w:val="32"/>
        </w:rPr>
      </w:pPr>
      <w:r>
        <w:rPr>
          <w:rFonts w:eastAsia="黑体"/>
          <w:szCs w:val="32"/>
        </w:rPr>
        <w:t>第三章　市级天使母基金参投子基金设立</w:t>
      </w:r>
    </w:p>
    <w:p>
      <w:pPr>
        <w:pStyle w:val="3"/>
        <w:tabs>
          <w:tab w:val="left" w:pos="7920"/>
        </w:tabs>
        <w:spacing w:line="560" w:lineRule="exact"/>
        <w:ind w:firstLine="606" w:firstLineChars="200"/>
        <w:rPr>
          <w:rFonts w:eastAsia="仿宋_GB2312"/>
          <w:szCs w:val="32"/>
          <w:lang w:val="en"/>
        </w:rPr>
      </w:pPr>
    </w:p>
    <w:p>
      <w:pPr>
        <w:pStyle w:val="3"/>
        <w:tabs>
          <w:tab w:val="left" w:pos="7920"/>
        </w:tabs>
        <w:spacing w:line="560" w:lineRule="exact"/>
        <w:ind w:firstLine="606" w:firstLineChars="200"/>
        <w:rPr>
          <w:rFonts w:eastAsia="仿宋_GB2312"/>
          <w:szCs w:val="32"/>
        </w:rPr>
      </w:pPr>
      <w:r>
        <w:rPr>
          <w:rFonts w:eastAsia="黑体"/>
          <w:szCs w:val="32"/>
        </w:rPr>
        <w:t>第八条</w:t>
      </w:r>
      <w:r>
        <w:rPr>
          <w:rFonts w:eastAsia="仿宋_GB2312"/>
          <w:szCs w:val="32"/>
        </w:rPr>
        <w:t>　市级天使母基金对单支子基金出资规模原则上不超过3亿元人民币；</w:t>
      </w:r>
    </w:p>
    <w:p>
      <w:pPr>
        <w:pStyle w:val="3"/>
        <w:tabs>
          <w:tab w:val="left" w:pos="7920"/>
        </w:tabs>
        <w:spacing w:line="560" w:lineRule="exact"/>
        <w:ind w:firstLine="606" w:firstLineChars="200"/>
        <w:rPr>
          <w:rFonts w:eastAsia="仿宋_GB2312"/>
          <w:szCs w:val="32"/>
        </w:rPr>
      </w:pPr>
      <w:r>
        <w:rPr>
          <w:rFonts w:eastAsia="仿宋_GB2312"/>
          <w:szCs w:val="32"/>
        </w:rPr>
        <w:t>市级天使母基金对高等学校、科研院所、大学科技园、海河实验室、产业技术研究院、科技企业孵化器等机构自主设立的专属子基金出资比例原则上不超过子基金认缴出资总额的70%，对其他市场化子基金出资比例原则上不超过子基金认缴出资总额的50%；</w:t>
      </w:r>
    </w:p>
    <w:p>
      <w:pPr>
        <w:pStyle w:val="3"/>
        <w:tabs>
          <w:tab w:val="left" w:pos="7920"/>
        </w:tabs>
        <w:spacing w:line="560" w:lineRule="exact"/>
        <w:ind w:firstLine="606" w:firstLineChars="200"/>
        <w:rPr>
          <w:rFonts w:eastAsia="仿宋_GB2312"/>
          <w:szCs w:val="32"/>
        </w:rPr>
      </w:pPr>
      <w:r>
        <w:rPr>
          <w:rFonts w:eastAsia="仿宋_GB2312"/>
          <w:szCs w:val="32"/>
        </w:rPr>
        <w:t>向市级天使母基金出资的区域，市级天使母基金按照该区域出资额的1.4倍，支持该区域推荐的子基金管理机构设立主要面向该区域的子基金。</w:t>
      </w:r>
    </w:p>
    <w:p>
      <w:pPr>
        <w:pStyle w:val="3"/>
        <w:tabs>
          <w:tab w:val="left" w:pos="7920"/>
        </w:tabs>
        <w:spacing w:line="560" w:lineRule="exact"/>
        <w:ind w:firstLine="606" w:firstLineChars="200"/>
        <w:rPr>
          <w:rFonts w:eastAsia="仿宋_GB2312"/>
          <w:szCs w:val="32"/>
        </w:rPr>
      </w:pPr>
      <w:r>
        <w:rPr>
          <w:rFonts w:eastAsia="黑体"/>
          <w:szCs w:val="32"/>
        </w:rPr>
        <w:t>第九条</w:t>
      </w:r>
      <w:r>
        <w:rPr>
          <w:rFonts w:eastAsia="仿宋_GB2312"/>
          <w:szCs w:val="32"/>
        </w:rPr>
        <w:t>　子基金应满足以下条件：</w:t>
      </w:r>
    </w:p>
    <w:p>
      <w:pPr>
        <w:pStyle w:val="3"/>
        <w:tabs>
          <w:tab w:val="left" w:pos="7920"/>
        </w:tabs>
        <w:spacing w:line="560" w:lineRule="exact"/>
        <w:ind w:firstLine="606" w:firstLineChars="200"/>
        <w:rPr>
          <w:rFonts w:eastAsia="仿宋_GB2312"/>
          <w:szCs w:val="32"/>
        </w:rPr>
      </w:pPr>
      <w:r>
        <w:rPr>
          <w:rFonts w:eastAsia="仿宋_GB2312"/>
          <w:szCs w:val="32"/>
        </w:rPr>
        <w:t>（一）子基金组织形式为公司制或有限合伙制。支持方式为参与发起设立、增资和受让份额；</w:t>
      </w:r>
    </w:p>
    <w:p>
      <w:pPr>
        <w:pStyle w:val="3"/>
        <w:tabs>
          <w:tab w:val="left" w:pos="7920"/>
        </w:tabs>
        <w:spacing w:line="560" w:lineRule="exact"/>
        <w:ind w:firstLine="606" w:firstLineChars="200"/>
        <w:rPr>
          <w:rFonts w:eastAsia="仿宋_GB2312"/>
          <w:szCs w:val="32"/>
        </w:rPr>
      </w:pPr>
      <w:r>
        <w:rPr>
          <w:rFonts w:eastAsia="仿宋_GB2312"/>
          <w:szCs w:val="32"/>
        </w:rPr>
        <w:t>（二）子基金认缴出资总额原则上不低于3000万元人民币，高等学校、科研院所、大学科技园、海河实验室、产业技术研究院、科技企业孵化器等机构设立的子基金可适当降低认缴出资总额；</w:t>
      </w:r>
    </w:p>
    <w:p>
      <w:pPr>
        <w:pStyle w:val="3"/>
        <w:tabs>
          <w:tab w:val="left" w:pos="7920"/>
        </w:tabs>
        <w:spacing w:line="560" w:lineRule="exact"/>
        <w:ind w:firstLine="606" w:firstLineChars="200"/>
        <w:rPr>
          <w:rFonts w:eastAsia="仿宋_GB2312"/>
          <w:szCs w:val="32"/>
        </w:rPr>
      </w:pPr>
      <w:r>
        <w:rPr>
          <w:rFonts w:eastAsia="仿宋_GB2312"/>
          <w:szCs w:val="32"/>
        </w:rPr>
        <w:t>（三）子基金出资方式为货币出资，市级天使母基金不先于其他出资人出资；</w:t>
      </w:r>
    </w:p>
    <w:p>
      <w:pPr>
        <w:pStyle w:val="3"/>
        <w:tabs>
          <w:tab w:val="left" w:pos="7920"/>
        </w:tabs>
        <w:spacing w:line="560" w:lineRule="exact"/>
        <w:ind w:firstLine="606" w:firstLineChars="200"/>
        <w:rPr>
          <w:rFonts w:eastAsia="仿宋_GB2312"/>
          <w:szCs w:val="32"/>
        </w:rPr>
      </w:pPr>
      <w:r>
        <w:rPr>
          <w:rFonts w:eastAsia="仿宋_GB2312"/>
          <w:szCs w:val="32"/>
        </w:rPr>
        <w:t>（四）子基金对单个企业的累计投资额不超过子基金认缴出资总额的20%；</w:t>
      </w:r>
    </w:p>
    <w:p>
      <w:pPr>
        <w:pStyle w:val="3"/>
        <w:tabs>
          <w:tab w:val="left" w:pos="7920"/>
        </w:tabs>
        <w:spacing w:line="560" w:lineRule="exact"/>
        <w:ind w:firstLine="606" w:firstLineChars="200"/>
        <w:rPr>
          <w:rFonts w:eastAsia="仿宋_GB2312"/>
          <w:szCs w:val="32"/>
        </w:rPr>
      </w:pPr>
      <w:r>
        <w:rPr>
          <w:rFonts w:eastAsia="仿宋_GB2312"/>
          <w:szCs w:val="32"/>
        </w:rPr>
        <w:t>（五）子基金存续期一般不超过15年，其中投资期不超过7年。经全体投资人协商一致，存续期最多可延长2年，存续期的延长期内不再向子基金管理机构支付管理费；</w:t>
      </w:r>
    </w:p>
    <w:p>
      <w:pPr>
        <w:pStyle w:val="3"/>
        <w:tabs>
          <w:tab w:val="left" w:pos="7920"/>
        </w:tabs>
        <w:spacing w:line="560" w:lineRule="exact"/>
        <w:ind w:firstLine="606" w:firstLineChars="200"/>
        <w:rPr>
          <w:rFonts w:eastAsia="仿宋_GB2312"/>
          <w:szCs w:val="32"/>
        </w:rPr>
      </w:pPr>
      <w:r>
        <w:rPr>
          <w:rFonts w:eastAsia="仿宋_GB2312"/>
          <w:szCs w:val="32"/>
        </w:rPr>
        <w:t>（六）子基金主要投资于国家和我市支持的战略性新兴产业和未来产业，提升本市产业链能级。</w:t>
      </w:r>
    </w:p>
    <w:p>
      <w:pPr>
        <w:pStyle w:val="3"/>
        <w:tabs>
          <w:tab w:val="left" w:pos="7920"/>
        </w:tabs>
        <w:spacing w:line="560" w:lineRule="exact"/>
        <w:ind w:firstLine="606" w:firstLineChars="200"/>
        <w:rPr>
          <w:rFonts w:eastAsia="仿宋_GB2312"/>
          <w:szCs w:val="32"/>
        </w:rPr>
      </w:pPr>
      <w:r>
        <w:rPr>
          <w:rFonts w:eastAsia="黑体"/>
          <w:szCs w:val="32"/>
        </w:rPr>
        <w:t>第十条</w:t>
      </w:r>
      <w:r>
        <w:rPr>
          <w:rFonts w:eastAsia="仿宋_GB2312"/>
          <w:szCs w:val="32"/>
        </w:rPr>
        <w:t>　子基金管理机构应满足以下条件：</w:t>
      </w:r>
    </w:p>
    <w:p>
      <w:pPr>
        <w:pStyle w:val="3"/>
        <w:tabs>
          <w:tab w:val="left" w:pos="7920"/>
        </w:tabs>
        <w:spacing w:line="560" w:lineRule="exact"/>
        <w:ind w:firstLine="606" w:firstLineChars="200"/>
        <w:rPr>
          <w:rFonts w:eastAsia="仿宋_GB2312"/>
          <w:szCs w:val="32"/>
        </w:rPr>
      </w:pPr>
      <w:r>
        <w:rPr>
          <w:rFonts w:eastAsia="仿宋_GB2312"/>
          <w:szCs w:val="32"/>
        </w:rPr>
        <w:t>（一）在中国大陆注册；</w:t>
      </w:r>
    </w:p>
    <w:p>
      <w:pPr>
        <w:pStyle w:val="3"/>
        <w:tabs>
          <w:tab w:val="left" w:pos="7920"/>
        </w:tabs>
        <w:spacing w:line="560" w:lineRule="exact"/>
        <w:ind w:firstLine="606" w:firstLineChars="200"/>
        <w:rPr>
          <w:rFonts w:eastAsia="仿宋_GB2312"/>
          <w:szCs w:val="32"/>
        </w:rPr>
      </w:pPr>
      <w:r>
        <w:rPr>
          <w:rFonts w:eastAsia="仿宋_GB2312"/>
          <w:szCs w:val="32"/>
        </w:rPr>
        <w:t>（二）注册资本不少于1000万元人民币，实缴出资不少于300万元人民币；</w:t>
      </w:r>
    </w:p>
    <w:p>
      <w:pPr>
        <w:pStyle w:val="3"/>
        <w:tabs>
          <w:tab w:val="left" w:pos="7920"/>
        </w:tabs>
        <w:spacing w:line="560" w:lineRule="exact"/>
        <w:ind w:firstLine="606" w:firstLineChars="200"/>
        <w:rPr>
          <w:rFonts w:eastAsia="仿宋_GB2312"/>
          <w:szCs w:val="32"/>
        </w:rPr>
      </w:pPr>
      <w:r>
        <w:rPr>
          <w:rFonts w:eastAsia="仿宋_GB2312"/>
          <w:szCs w:val="32"/>
        </w:rPr>
        <w:t>（三）在中国证券投资基金业协会完成私募股权投资基金管理人登记；</w:t>
      </w:r>
    </w:p>
    <w:p>
      <w:pPr>
        <w:pStyle w:val="3"/>
        <w:tabs>
          <w:tab w:val="left" w:pos="7920"/>
        </w:tabs>
        <w:spacing w:line="560" w:lineRule="exact"/>
        <w:ind w:firstLine="606" w:firstLineChars="200"/>
        <w:rPr>
          <w:rFonts w:eastAsia="仿宋_GB2312"/>
          <w:szCs w:val="32"/>
        </w:rPr>
      </w:pPr>
      <w:r>
        <w:rPr>
          <w:rFonts w:eastAsia="仿宋_GB2312"/>
          <w:szCs w:val="32"/>
        </w:rPr>
        <w:t>（四）子基金管理机构或其关联方在子基金中认缴出资比例不少于1%；</w:t>
      </w:r>
    </w:p>
    <w:p>
      <w:pPr>
        <w:pStyle w:val="3"/>
        <w:tabs>
          <w:tab w:val="left" w:pos="7920"/>
        </w:tabs>
        <w:spacing w:line="560" w:lineRule="exact"/>
        <w:ind w:firstLine="606" w:firstLineChars="200"/>
        <w:rPr>
          <w:rFonts w:eastAsia="仿宋_GB2312"/>
          <w:szCs w:val="32"/>
        </w:rPr>
      </w:pPr>
      <w:r>
        <w:rPr>
          <w:rFonts w:eastAsia="仿宋_GB2312"/>
          <w:szCs w:val="32"/>
        </w:rPr>
        <w:t>（五）拥有3名具备5年以上创业投资或相关业务经验的专职高级管理人员</w:t>
      </w:r>
      <w:r>
        <w:rPr>
          <w:rFonts w:hint="eastAsia" w:eastAsia="仿宋_GB2312"/>
          <w:szCs w:val="32"/>
        </w:rPr>
        <w:t>；</w:t>
      </w:r>
    </w:p>
    <w:p>
      <w:pPr>
        <w:pStyle w:val="3"/>
        <w:tabs>
          <w:tab w:val="left" w:pos="7920"/>
        </w:tabs>
        <w:spacing w:line="560" w:lineRule="exact"/>
        <w:ind w:firstLine="606" w:firstLineChars="200"/>
        <w:rPr>
          <w:rFonts w:eastAsia="仿宋_GB2312"/>
          <w:szCs w:val="32"/>
        </w:rPr>
      </w:pPr>
      <w:r>
        <w:rPr>
          <w:rFonts w:eastAsia="仿宋_GB2312"/>
          <w:szCs w:val="32"/>
        </w:rPr>
        <w:t>（六）具有完备的募、投、管、退相关管理制度，能够为所投资企业提供创业辅导、管理咨询等增值服务；</w:t>
      </w:r>
    </w:p>
    <w:p>
      <w:pPr>
        <w:pStyle w:val="3"/>
        <w:tabs>
          <w:tab w:val="left" w:pos="7920"/>
        </w:tabs>
        <w:spacing w:line="560" w:lineRule="exact"/>
        <w:ind w:firstLine="606" w:firstLineChars="200"/>
        <w:rPr>
          <w:rFonts w:eastAsia="仿宋_GB2312"/>
          <w:szCs w:val="32"/>
        </w:rPr>
      </w:pPr>
      <w:r>
        <w:rPr>
          <w:rFonts w:eastAsia="仿宋_GB2312"/>
          <w:szCs w:val="32"/>
        </w:rPr>
        <w:t>（七）子基金管理机构及其高级管理人员以及所申请子基金的专职管理人员无重大过失，无受行政主管机关或司法机关处罚的不良记录；</w:t>
      </w:r>
    </w:p>
    <w:p>
      <w:pPr>
        <w:pStyle w:val="3"/>
        <w:tabs>
          <w:tab w:val="left" w:pos="7920"/>
        </w:tabs>
        <w:spacing w:line="560" w:lineRule="exact"/>
        <w:ind w:firstLine="606" w:firstLineChars="200"/>
        <w:rPr>
          <w:rFonts w:eastAsia="仿宋_GB2312"/>
          <w:szCs w:val="32"/>
        </w:rPr>
      </w:pPr>
      <w:r>
        <w:rPr>
          <w:rFonts w:eastAsia="仿宋_GB2312"/>
          <w:szCs w:val="32"/>
        </w:rPr>
        <w:t>（八）子基金管理机构应向《私募投资基金监督管理暂行办法》等所规定的合格投资者募集资金。以合伙企业、契约等非法人形式，通过汇集投资者的资金直接或间接投资于子基金的，子基金管理机构应当穿透核查最终投资者是否为合格投资者，并合并计算投资者人数。子基金管理机构应当勤勉尽责，核实各出资人是否符合国家相关政策法规规定的合格投资者要求。</w:t>
      </w:r>
    </w:p>
    <w:p>
      <w:pPr>
        <w:pStyle w:val="3"/>
        <w:tabs>
          <w:tab w:val="left" w:pos="7920"/>
        </w:tabs>
        <w:spacing w:line="560" w:lineRule="exact"/>
        <w:ind w:firstLine="606" w:firstLineChars="200"/>
        <w:rPr>
          <w:rFonts w:eastAsia="仿宋_GB2312"/>
          <w:szCs w:val="32"/>
        </w:rPr>
      </w:pPr>
      <w:r>
        <w:rPr>
          <w:rFonts w:eastAsia="黑体"/>
          <w:szCs w:val="32"/>
        </w:rPr>
        <w:t>第十一条</w:t>
      </w:r>
      <w:r>
        <w:rPr>
          <w:rFonts w:eastAsia="仿宋_GB2312"/>
          <w:szCs w:val="32"/>
        </w:rPr>
        <w:t>　</w:t>
      </w:r>
      <w:r>
        <w:rPr>
          <w:rFonts w:hint="eastAsia" w:eastAsia="仿宋_GB2312"/>
          <w:szCs w:val="32"/>
        </w:rPr>
        <w:t>天使子基金</w:t>
      </w:r>
      <w:r>
        <w:rPr>
          <w:rFonts w:eastAsia="仿宋_GB2312"/>
          <w:szCs w:val="32"/>
        </w:rPr>
        <w:t>申请人应为子基金管理机构，申请材料包括以下内容：</w:t>
      </w:r>
    </w:p>
    <w:p>
      <w:pPr>
        <w:pStyle w:val="3"/>
        <w:tabs>
          <w:tab w:val="left" w:pos="7920"/>
        </w:tabs>
        <w:spacing w:line="560" w:lineRule="exact"/>
        <w:ind w:firstLine="606" w:firstLineChars="200"/>
        <w:rPr>
          <w:rFonts w:eastAsia="仿宋_GB2312"/>
          <w:szCs w:val="32"/>
        </w:rPr>
      </w:pPr>
      <w:r>
        <w:rPr>
          <w:rFonts w:eastAsia="仿宋_GB2312"/>
          <w:szCs w:val="32"/>
        </w:rPr>
        <w:t>（一）子基金设立</w:t>
      </w:r>
      <w:r>
        <w:rPr>
          <w:rFonts w:hint="eastAsia" w:eastAsia="仿宋_GB2312"/>
          <w:szCs w:val="32"/>
        </w:rPr>
        <w:t>、</w:t>
      </w:r>
      <w:r>
        <w:rPr>
          <w:rFonts w:eastAsia="仿宋_GB2312"/>
          <w:szCs w:val="32"/>
        </w:rPr>
        <w:t>增资</w:t>
      </w:r>
      <w:r>
        <w:rPr>
          <w:rFonts w:hint="eastAsia" w:eastAsia="仿宋_GB2312"/>
          <w:szCs w:val="32"/>
        </w:rPr>
        <w:t>或受让份额</w:t>
      </w:r>
      <w:r>
        <w:rPr>
          <w:rFonts w:eastAsia="仿宋_GB2312"/>
          <w:szCs w:val="32"/>
        </w:rPr>
        <w:t>方案；</w:t>
      </w:r>
    </w:p>
    <w:p>
      <w:pPr>
        <w:pStyle w:val="3"/>
        <w:tabs>
          <w:tab w:val="left" w:pos="7920"/>
        </w:tabs>
        <w:spacing w:line="560" w:lineRule="exact"/>
        <w:ind w:firstLine="606" w:firstLineChars="200"/>
        <w:rPr>
          <w:rFonts w:eastAsia="仿宋_GB2312"/>
          <w:szCs w:val="32"/>
        </w:rPr>
      </w:pPr>
      <w:r>
        <w:rPr>
          <w:rFonts w:eastAsia="仿宋_GB2312"/>
          <w:szCs w:val="32"/>
        </w:rPr>
        <w:t>（二）子基金所有出资人的出资意向及出资能力证明（向市级天使母基金出资的区域和高等学校、科研院所、大学科技园、海河实验室、产业技术研究院、科技企业孵化器等机构推荐的参投子基金，还应提供相应的内部决策文件）；</w:t>
      </w:r>
    </w:p>
    <w:p>
      <w:pPr>
        <w:pStyle w:val="3"/>
        <w:tabs>
          <w:tab w:val="left" w:pos="7920"/>
        </w:tabs>
        <w:spacing w:line="560" w:lineRule="exact"/>
        <w:ind w:firstLine="606" w:firstLineChars="200"/>
        <w:rPr>
          <w:rFonts w:eastAsia="仿宋_GB2312"/>
          <w:szCs w:val="32"/>
        </w:rPr>
      </w:pPr>
      <w:r>
        <w:rPr>
          <w:rFonts w:eastAsia="仿宋_GB2312"/>
          <w:szCs w:val="32"/>
        </w:rPr>
        <w:t>（三）能够证明子基金管理机构资格条件的</w:t>
      </w:r>
      <w:r>
        <w:rPr>
          <w:rFonts w:hint="eastAsia" w:eastAsia="仿宋_GB2312"/>
          <w:szCs w:val="32"/>
        </w:rPr>
        <w:t>佐证材料</w:t>
      </w:r>
      <w:r>
        <w:rPr>
          <w:rFonts w:eastAsia="仿宋_GB2312"/>
          <w:szCs w:val="32"/>
        </w:rPr>
        <w:t>；</w:t>
      </w:r>
    </w:p>
    <w:p>
      <w:pPr>
        <w:pStyle w:val="3"/>
        <w:tabs>
          <w:tab w:val="left" w:pos="7920"/>
        </w:tabs>
        <w:spacing w:line="560" w:lineRule="exact"/>
        <w:ind w:firstLine="606" w:firstLineChars="200"/>
        <w:rPr>
          <w:rFonts w:eastAsia="仿宋_GB2312"/>
          <w:szCs w:val="32"/>
        </w:rPr>
      </w:pPr>
      <w:r>
        <w:rPr>
          <w:rFonts w:eastAsia="仿宋_GB2312"/>
          <w:szCs w:val="32"/>
        </w:rPr>
        <w:t>（四）天使母基金管理公司认为应当提交的其他材料。</w:t>
      </w:r>
    </w:p>
    <w:p>
      <w:pPr>
        <w:pStyle w:val="3"/>
        <w:tabs>
          <w:tab w:val="left" w:pos="7920"/>
        </w:tabs>
        <w:spacing w:line="560" w:lineRule="exact"/>
        <w:ind w:firstLine="606" w:firstLineChars="200"/>
        <w:rPr>
          <w:rFonts w:eastAsia="仿宋_GB2312"/>
          <w:szCs w:val="32"/>
        </w:rPr>
      </w:pPr>
      <w:r>
        <w:rPr>
          <w:rFonts w:eastAsia="黑体"/>
          <w:szCs w:val="32"/>
        </w:rPr>
        <w:t>第十二条</w:t>
      </w:r>
      <w:r>
        <w:rPr>
          <w:rFonts w:eastAsia="仿宋_GB2312"/>
          <w:szCs w:val="32"/>
        </w:rPr>
        <w:t>　工作流程</w:t>
      </w:r>
    </w:p>
    <w:p>
      <w:pPr>
        <w:pStyle w:val="3"/>
        <w:tabs>
          <w:tab w:val="left" w:pos="7920"/>
        </w:tabs>
        <w:spacing w:line="560" w:lineRule="exact"/>
        <w:ind w:firstLine="606" w:firstLineChars="200"/>
        <w:rPr>
          <w:rFonts w:eastAsia="仿宋_GB2312"/>
          <w:szCs w:val="32"/>
        </w:rPr>
      </w:pPr>
      <w:r>
        <w:rPr>
          <w:rFonts w:eastAsia="仿宋_GB2312"/>
          <w:szCs w:val="32"/>
        </w:rPr>
        <w:t>（一）天使母基金管理公司收到申请人的材料后，对申请材料进行形式审查。对于不符合要求的，及时通知申请人补充完善；对于符合要求的，及时组织开展尽职调查并形成尽职调查报告；</w:t>
      </w:r>
    </w:p>
    <w:p>
      <w:pPr>
        <w:pStyle w:val="3"/>
        <w:tabs>
          <w:tab w:val="left" w:pos="7920"/>
        </w:tabs>
        <w:spacing w:line="560" w:lineRule="exact"/>
        <w:ind w:firstLine="606" w:firstLineChars="200"/>
        <w:rPr>
          <w:rFonts w:eastAsia="仿宋_GB2312"/>
          <w:szCs w:val="32"/>
        </w:rPr>
      </w:pPr>
      <w:r>
        <w:rPr>
          <w:rFonts w:eastAsia="仿宋_GB2312"/>
          <w:szCs w:val="32"/>
        </w:rPr>
        <w:t>（二）完成尽职调查后，天使母基金管理公司将子基金设立</w:t>
      </w:r>
      <w:r>
        <w:rPr>
          <w:rFonts w:hint="eastAsia" w:eastAsia="仿宋_GB2312"/>
          <w:szCs w:val="32"/>
        </w:rPr>
        <w:t>、</w:t>
      </w:r>
      <w:r>
        <w:rPr>
          <w:rFonts w:eastAsia="仿宋_GB2312"/>
          <w:szCs w:val="32"/>
        </w:rPr>
        <w:t>增资</w:t>
      </w:r>
      <w:r>
        <w:rPr>
          <w:rFonts w:hint="eastAsia" w:eastAsia="仿宋_GB2312"/>
          <w:szCs w:val="32"/>
        </w:rPr>
        <w:t>或受让份额</w:t>
      </w:r>
      <w:r>
        <w:rPr>
          <w:rFonts w:eastAsia="仿宋_GB2312"/>
          <w:szCs w:val="32"/>
        </w:rPr>
        <w:t>方案、投资建议、尽职调查报告等相关资料提交投资决策委员会进行决策。必要时，天使母基金管理公司可在投资决策前组织开展专家评审；</w:t>
      </w:r>
    </w:p>
    <w:p>
      <w:pPr>
        <w:pStyle w:val="3"/>
        <w:tabs>
          <w:tab w:val="left" w:pos="7920"/>
        </w:tabs>
        <w:spacing w:line="560" w:lineRule="exact"/>
        <w:ind w:firstLine="606" w:firstLineChars="200"/>
        <w:rPr>
          <w:rFonts w:eastAsia="仿宋_GB2312"/>
          <w:szCs w:val="32"/>
        </w:rPr>
      </w:pPr>
      <w:r>
        <w:rPr>
          <w:rFonts w:eastAsia="仿宋_GB2312"/>
          <w:szCs w:val="32"/>
        </w:rPr>
        <w:t>（三）投资决策委员会决策后10日内，天使母基金管理公司将决策结果面向社会进行公示，公示期5个工作日；</w:t>
      </w:r>
    </w:p>
    <w:p>
      <w:pPr>
        <w:pStyle w:val="3"/>
        <w:tabs>
          <w:tab w:val="left" w:pos="7920"/>
        </w:tabs>
        <w:spacing w:line="560" w:lineRule="exact"/>
        <w:ind w:firstLine="606" w:firstLineChars="200"/>
        <w:rPr>
          <w:rFonts w:eastAsia="仿宋_GB2312"/>
          <w:szCs w:val="32"/>
        </w:rPr>
      </w:pPr>
      <w:r>
        <w:rPr>
          <w:rFonts w:eastAsia="仿宋_GB2312"/>
          <w:szCs w:val="32"/>
        </w:rPr>
        <w:t>（四）公示无异议或有异议但经调查异议不成立的，天使母基金管理公司及时与子基金各出资方协商并办理子基金合伙协议（或公司章程）等各项法律文件的签署；</w:t>
      </w:r>
    </w:p>
    <w:p>
      <w:pPr>
        <w:pStyle w:val="3"/>
        <w:tabs>
          <w:tab w:val="left" w:pos="7920"/>
        </w:tabs>
        <w:spacing w:line="560" w:lineRule="exact"/>
        <w:ind w:firstLine="606" w:firstLineChars="200"/>
        <w:rPr>
          <w:rFonts w:eastAsia="仿宋_GB2312"/>
          <w:szCs w:val="32"/>
        </w:rPr>
      </w:pPr>
      <w:r>
        <w:rPr>
          <w:rFonts w:eastAsia="仿宋_GB2312"/>
          <w:szCs w:val="32"/>
        </w:rPr>
        <w:t>（五）直投基金经市级天使母基金投资决策委员会审批同意后设立，由天使母基金管理公司管理。直投基金可依法进行市场化募集资金，市级天使母基金对直投基金出资部分不设置返投要求，不进行让利。直投基金可按照市场化投资原则，提取收益</w:t>
      </w:r>
      <w:r>
        <w:rPr>
          <w:rFonts w:hint="eastAsia" w:eastAsia="仿宋_GB2312"/>
          <w:szCs w:val="32"/>
        </w:rPr>
        <w:t>部分的</w:t>
      </w:r>
      <w:r>
        <w:rPr>
          <w:rFonts w:eastAsia="仿宋_GB2312"/>
          <w:szCs w:val="32"/>
        </w:rPr>
        <w:t>20%作为直投基金GP的业绩报酬。</w:t>
      </w:r>
    </w:p>
    <w:p>
      <w:pPr>
        <w:pStyle w:val="3"/>
        <w:tabs>
          <w:tab w:val="left" w:pos="7920"/>
        </w:tabs>
        <w:spacing w:line="560" w:lineRule="exact"/>
        <w:ind w:firstLine="606" w:firstLineChars="200"/>
        <w:rPr>
          <w:rFonts w:eastAsia="仿宋_GB2312"/>
          <w:szCs w:val="32"/>
          <w:lang w:val="en"/>
        </w:rPr>
      </w:pPr>
    </w:p>
    <w:p>
      <w:pPr>
        <w:pStyle w:val="3"/>
        <w:tabs>
          <w:tab w:val="left" w:pos="7920"/>
        </w:tabs>
        <w:spacing w:line="560" w:lineRule="exact"/>
        <w:ind w:firstLine="0" w:firstLineChars="0"/>
        <w:jc w:val="center"/>
        <w:rPr>
          <w:rFonts w:eastAsia="黑体"/>
          <w:szCs w:val="32"/>
        </w:rPr>
      </w:pPr>
      <w:r>
        <w:rPr>
          <w:rFonts w:eastAsia="黑体"/>
          <w:szCs w:val="32"/>
        </w:rPr>
        <w:t>第四章　市级天使母基金投资管理</w:t>
      </w:r>
    </w:p>
    <w:p>
      <w:pPr>
        <w:pStyle w:val="3"/>
        <w:tabs>
          <w:tab w:val="left" w:pos="7920"/>
        </w:tabs>
        <w:spacing w:line="560" w:lineRule="exact"/>
        <w:ind w:firstLine="606" w:firstLineChars="200"/>
        <w:rPr>
          <w:rFonts w:eastAsia="仿宋_GB2312"/>
          <w:szCs w:val="32"/>
          <w:lang w:val="en"/>
        </w:rPr>
      </w:pPr>
    </w:p>
    <w:p>
      <w:pPr>
        <w:pStyle w:val="3"/>
        <w:tabs>
          <w:tab w:val="left" w:pos="7920"/>
        </w:tabs>
        <w:spacing w:line="560" w:lineRule="exact"/>
        <w:ind w:firstLine="606" w:firstLineChars="200"/>
        <w:rPr>
          <w:rFonts w:eastAsia="仿宋_GB2312"/>
          <w:szCs w:val="32"/>
        </w:rPr>
      </w:pPr>
      <w:r>
        <w:rPr>
          <w:rFonts w:eastAsia="黑体"/>
          <w:szCs w:val="32"/>
        </w:rPr>
        <w:t>第十三条</w:t>
      </w:r>
      <w:r>
        <w:rPr>
          <w:rFonts w:eastAsia="仿宋_GB2312"/>
          <w:szCs w:val="32"/>
        </w:rPr>
        <w:t>　市级天使母基金按照子基金合伙协议（或公司章程）约定履行出资人职责，享有出资人权利。天使母基金管理公司向子基金派出代表，依据相关法律法规以及本办法、子基金合伙协议（或公司章程）行使出资人职责，参与重大决策，适度参与投资决策，监督子基金投资运作，不参与子基金日常经营。对子基金不符合相关法律法规以及本办法、合伙协议（或公司章程）的议案，天使母基金管理公司拥有一票否决权。</w:t>
      </w:r>
    </w:p>
    <w:p>
      <w:pPr>
        <w:pStyle w:val="3"/>
        <w:tabs>
          <w:tab w:val="left" w:pos="7920"/>
        </w:tabs>
        <w:spacing w:line="560" w:lineRule="exact"/>
        <w:ind w:firstLine="606" w:firstLineChars="200"/>
        <w:rPr>
          <w:rFonts w:eastAsia="仿宋_GB2312"/>
          <w:szCs w:val="32"/>
        </w:rPr>
      </w:pPr>
      <w:r>
        <w:rPr>
          <w:rFonts w:eastAsia="黑体"/>
          <w:szCs w:val="32"/>
        </w:rPr>
        <w:t>第十四条</w:t>
      </w:r>
      <w:r>
        <w:rPr>
          <w:rFonts w:eastAsia="仿宋_GB2312"/>
          <w:szCs w:val="32"/>
        </w:rPr>
        <w:t>　子基金管理机构应聘请具有相关业务审计资质的会计师事务所开展年度审计工作，及时向天使母基金管理机构报送审计报告，保证财务信息真实性和准确性，确保基金合规运营。子基金管理机构应每年召开年度合伙人会议，报告子基金投资运营、项目管理、审计合规等相关情况。</w:t>
      </w:r>
    </w:p>
    <w:p>
      <w:pPr>
        <w:pStyle w:val="3"/>
        <w:tabs>
          <w:tab w:val="left" w:pos="7920"/>
        </w:tabs>
        <w:spacing w:line="560" w:lineRule="exact"/>
        <w:ind w:firstLine="606" w:firstLineChars="200"/>
        <w:rPr>
          <w:rFonts w:eastAsia="仿宋_GB2312"/>
          <w:szCs w:val="32"/>
        </w:rPr>
      </w:pPr>
      <w:r>
        <w:rPr>
          <w:rFonts w:eastAsia="黑体"/>
          <w:szCs w:val="32"/>
        </w:rPr>
        <w:t>第十五条</w:t>
      </w:r>
      <w:r>
        <w:rPr>
          <w:rFonts w:eastAsia="仿宋_GB2312"/>
          <w:szCs w:val="32"/>
        </w:rPr>
        <w:t xml:space="preserve">  市级天使母基金应聘请具有相关业务审计资质的会计师事务所开展年度审计工作，关注子基金运营和资金使用情况，必要时穿透至子基金投资项目。</w:t>
      </w:r>
    </w:p>
    <w:p>
      <w:pPr>
        <w:pStyle w:val="3"/>
        <w:tabs>
          <w:tab w:val="left" w:pos="7920"/>
        </w:tabs>
        <w:spacing w:line="560" w:lineRule="exact"/>
        <w:ind w:firstLine="606" w:firstLineChars="200"/>
        <w:rPr>
          <w:rFonts w:eastAsia="仿宋_GB2312"/>
          <w:szCs w:val="32"/>
        </w:rPr>
      </w:pPr>
      <w:r>
        <w:rPr>
          <w:rFonts w:eastAsia="黑体"/>
          <w:szCs w:val="32"/>
        </w:rPr>
        <w:t>第十六条</w:t>
      </w:r>
      <w:r>
        <w:rPr>
          <w:rFonts w:eastAsia="仿宋_GB2312"/>
          <w:szCs w:val="32"/>
        </w:rPr>
        <w:t>　子基金管理机构按季度向天使母基金管理公司报告子基金经营情况。天使母基金管理公司可对子基金投资的企业进行实地调研。当天使母基金管理公司发现子基金运营异常时，可指定会计师事务所对子基金进行专项审计。</w:t>
      </w:r>
    </w:p>
    <w:p>
      <w:pPr>
        <w:pStyle w:val="3"/>
        <w:tabs>
          <w:tab w:val="left" w:pos="7920"/>
        </w:tabs>
        <w:spacing w:line="560" w:lineRule="exact"/>
        <w:ind w:firstLine="606" w:firstLineChars="200"/>
        <w:rPr>
          <w:rFonts w:eastAsia="仿宋_GB2312"/>
          <w:szCs w:val="32"/>
        </w:rPr>
      </w:pPr>
      <w:r>
        <w:rPr>
          <w:rFonts w:eastAsia="黑体"/>
          <w:szCs w:val="32"/>
        </w:rPr>
        <w:t>第十七条</w:t>
      </w:r>
      <w:r>
        <w:rPr>
          <w:rFonts w:eastAsia="仿宋_GB2312"/>
          <w:szCs w:val="32"/>
        </w:rPr>
        <w:t>　子基金返投应满足以下要求：</w:t>
      </w:r>
    </w:p>
    <w:p>
      <w:pPr>
        <w:pStyle w:val="3"/>
        <w:tabs>
          <w:tab w:val="left" w:pos="7920"/>
        </w:tabs>
        <w:spacing w:line="560" w:lineRule="exact"/>
        <w:ind w:firstLine="606" w:firstLineChars="200"/>
        <w:rPr>
          <w:rFonts w:eastAsia="仿宋_GB2312"/>
          <w:szCs w:val="32"/>
        </w:rPr>
      </w:pPr>
      <w:r>
        <w:rPr>
          <w:rFonts w:eastAsia="仿宋_GB2312"/>
          <w:szCs w:val="32"/>
        </w:rPr>
        <w:t>子基金对本市科技型企业的投资额度不低于市级天使母基金实缴出资额的1倍。</w:t>
      </w:r>
    </w:p>
    <w:p>
      <w:pPr>
        <w:pStyle w:val="3"/>
        <w:tabs>
          <w:tab w:val="left" w:pos="7920"/>
        </w:tabs>
        <w:spacing w:line="560" w:lineRule="exact"/>
        <w:ind w:firstLine="606" w:firstLineChars="200"/>
        <w:rPr>
          <w:rFonts w:eastAsia="仿宋_GB2312"/>
          <w:szCs w:val="32"/>
        </w:rPr>
      </w:pPr>
      <w:r>
        <w:rPr>
          <w:rFonts w:eastAsia="仿宋_GB2312"/>
          <w:szCs w:val="32"/>
        </w:rPr>
        <w:t>科技型企业是指符合国家科技型中小企业、国家高新技术企业、天津市猎豹企业</w:t>
      </w:r>
      <w:r>
        <w:rPr>
          <w:rFonts w:hint="eastAsia" w:eastAsia="仿宋_GB2312"/>
          <w:szCs w:val="32"/>
        </w:rPr>
        <w:t>、科技领军企业</w:t>
      </w:r>
      <w:r>
        <w:rPr>
          <w:rFonts w:eastAsia="仿宋_GB2312"/>
          <w:szCs w:val="32"/>
        </w:rPr>
        <w:t>等认定标准，或拥有核心技术、优秀团队的企业。</w:t>
      </w:r>
    </w:p>
    <w:p>
      <w:pPr>
        <w:pStyle w:val="3"/>
        <w:tabs>
          <w:tab w:val="left" w:pos="7920"/>
        </w:tabs>
        <w:spacing w:line="560" w:lineRule="exact"/>
        <w:ind w:firstLine="606" w:firstLineChars="200"/>
        <w:rPr>
          <w:rFonts w:eastAsia="仿宋_GB2312"/>
          <w:szCs w:val="32"/>
        </w:rPr>
      </w:pPr>
      <w:r>
        <w:rPr>
          <w:rFonts w:eastAsia="黑体"/>
          <w:szCs w:val="32"/>
        </w:rPr>
        <w:t>第十八条</w:t>
      </w:r>
      <w:r>
        <w:rPr>
          <w:rFonts w:eastAsia="仿宋_GB2312"/>
          <w:szCs w:val="32"/>
        </w:rPr>
        <w:t>　子基金的返投额度按照以下原则予以认定：</w:t>
      </w:r>
    </w:p>
    <w:p>
      <w:pPr>
        <w:pStyle w:val="3"/>
        <w:tabs>
          <w:tab w:val="left" w:pos="7920"/>
        </w:tabs>
        <w:spacing w:line="560" w:lineRule="exact"/>
        <w:ind w:firstLine="606" w:firstLineChars="200"/>
        <w:rPr>
          <w:rFonts w:eastAsia="仿宋_GB2312"/>
          <w:szCs w:val="32"/>
          <w:highlight w:val="yellow"/>
        </w:rPr>
      </w:pPr>
      <w:r>
        <w:rPr>
          <w:rFonts w:eastAsia="仿宋_GB2312"/>
          <w:szCs w:val="32"/>
        </w:rPr>
        <w:t>（一）在子基金投资期内，子基金投资的本市科技型企业，按实际投资额（实缴到位）计算；</w:t>
      </w:r>
    </w:p>
    <w:p>
      <w:pPr>
        <w:pStyle w:val="3"/>
        <w:tabs>
          <w:tab w:val="left" w:pos="7920"/>
        </w:tabs>
        <w:spacing w:line="560" w:lineRule="exact"/>
        <w:ind w:firstLine="606" w:firstLineChars="200"/>
        <w:rPr>
          <w:rFonts w:eastAsia="仿宋_GB2312"/>
          <w:szCs w:val="32"/>
        </w:rPr>
      </w:pPr>
      <w:r>
        <w:rPr>
          <w:rFonts w:eastAsia="仿宋_GB2312"/>
          <w:szCs w:val="32"/>
        </w:rPr>
        <w:t>（</w:t>
      </w:r>
      <w:r>
        <w:rPr>
          <w:rFonts w:hint="eastAsia" w:eastAsia="仿宋_GB2312"/>
          <w:szCs w:val="32"/>
        </w:rPr>
        <w:t>二</w:t>
      </w:r>
      <w:r>
        <w:rPr>
          <w:rFonts w:eastAsia="仿宋_GB2312"/>
          <w:szCs w:val="32"/>
        </w:rPr>
        <w:t>）子基金投资的</w:t>
      </w:r>
      <w:r>
        <w:rPr>
          <w:rFonts w:hint="eastAsia" w:eastAsia="仿宋_GB2312"/>
          <w:szCs w:val="32"/>
        </w:rPr>
        <w:t>天津市以外的</w:t>
      </w:r>
      <w:r>
        <w:rPr>
          <w:rFonts w:eastAsia="仿宋_GB2312"/>
          <w:szCs w:val="32"/>
        </w:rPr>
        <w:t>科技型企业又投资天津市企业的，按子基金对该外地企业实缴投资额且不超过其对天津市企业实缴投资额计算；</w:t>
      </w:r>
    </w:p>
    <w:p>
      <w:pPr>
        <w:pStyle w:val="3"/>
        <w:tabs>
          <w:tab w:val="left" w:pos="7920"/>
        </w:tabs>
        <w:spacing w:line="560" w:lineRule="exact"/>
        <w:ind w:firstLine="606" w:firstLineChars="200"/>
        <w:rPr>
          <w:rFonts w:eastAsia="仿宋_GB2312"/>
          <w:szCs w:val="32"/>
        </w:rPr>
      </w:pPr>
      <w:r>
        <w:rPr>
          <w:rFonts w:eastAsia="仿宋_GB2312"/>
          <w:szCs w:val="32"/>
        </w:rPr>
        <w:t>（</w:t>
      </w:r>
      <w:r>
        <w:rPr>
          <w:rFonts w:hint="eastAsia" w:eastAsia="仿宋_GB2312"/>
          <w:szCs w:val="32"/>
        </w:rPr>
        <w:t>三</w:t>
      </w:r>
      <w:r>
        <w:rPr>
          <w:rFonts w:eastAsia="仿宋_GB2312"/>
          <w:szCs w:val="32"/>
        </w:rPr>
        <w:t>）子基金管理机构或其控股股东（公司制）、普通合伙人（合伙制）管理的其他基金或自有资金投资的</w:t>
      </w:r>
      <w:r>
        <w:rPr>
          <w:rFonts w:hint="eastAsia" w:eastAsia="仿宋_GB2312"/>
          <w:szCs w:val="32"/>
        </w:rPr>
        <w:t>本市</w:t>
      </w:r>
      <w:r>
        <w:rPr>
          <w:rFonts w:eastAsia="仿宋_GB2312"/>
          <w:szCs w:val="32"/>
        </w:rPr>
        <w:t>科技型企业，按对该企业实缴投资额且不超过市级天使母基金对子基金的实缴出资额计算；</w:t>
      </w:r>
    </w:p>
    <w:p>
      <w:pPr>
        <w:pStyle w:val="3"/>
        <w:tabs>
          <w:tab w:val="left" w:pos="7920"/>
        </w:tabs>
        <w:spacing w:line="560" w:lineRule="exact"/>
        <w:ind w:firstLine="606" w:firstLineChars="200"/>
        <w:rPr>
          <w:rFonts w:eastAsia="仿宋_GB2312"/>
          <w:szCs w:val="32"/>
        </w:rPr>
      </w:pPr>
      <w:r>
        <w:rPr>
          <w:rFonts w:eastAsia="仿宋_GB2312"/>
          <w:szCs w:val="32"/>
        </w:rPr>
        <w:t>（</w:t>
      </w:r>
      <w:r>
        <w:rPr>
          <w:rFonts w:hint="eastAsia" w:eastAsia="仿宋_GB2312"/>
          <w:szCs w:val="32"/>
        </w:rPr>
        <w:t>四</w:t>
      </w:r>
      <w:r>
        <w:rPr>
          <w:rFonts w:eastAsia="仿宋_GB2312"/>
          <w:szCs w:val="32"/>
        </w:rPr>
        <w:t>）向市级天使母基金中出资的区域，市级天使母基金参与设立的子基金向该区域投资或引进项目，在现有返投认定标准基础上再提高20%的返投认定额度。</w:t>
      </w:r>
    </w:p>
    <w:p>
      <w:pPr>
        <w:pStyle w:val="3"/>
        <w:tabs>
          <w:tab w:val="left" w:pos="7920"/>
        </w:tabs>
        <w:spacing w:line="560" w:lineRule="exact"/>
        <w:ind w:firstLine="606" w:firstLineChars="200"/>
        <w:rPr>
          <w:rFonts w:eastAsia="仿宋_GB2312"/>
          <w:szCs w:val="32"/>
        </w:rPr>
      </w:pPr>
      <w:r>
        <w:rPr>
          <w:rFonts w:eastAsia="黑体"/>
          <w:szCs w:val="32"/>
        </w:rPr>
        <w:t>第十九条</w:t>
      </w:r>
      <w:r>
        <w:rPr>
          <w:rFonts w:eastAsia="仿宋_GB2312"/>
          <w:szCs w:val="32"/>
        </w:rPr>
        <w:t>　子基金不得从事以下业务：</w:t>
      </w:r>
    </w:p>
    <w:p>
      <w:pPr>
        <w:pStyle w:val="3"/>
        <w:tabs>
          <w:tab w:val="left" w:pos="7920"/>
        </w:tabs>
        <w:spacing w:line="560" w:lineRule="exact"/>
        <w:ind w:firstLine="606" w:firstLineChars="200"/>
        <w:rPr>
          <w:rFonts w:eastAsia="仿宋_GB2312"/>
          <w:szCs w:val="32"/>
        </w:rPr>
      </w:pPr>
      <w:r>
        <w:rPr>
          <w:rFonts w:eastAsia="仿宋_GB2312"/>
          <w:szCs w:val="32"/>
        </w:rPr>
        <w:t>（一）担保、抵押、委托贷款等业务；</w:t>
      </w:r>
    </w:p>
    <w:p>
      <w:pPr>
        <w:pStyle w:val="3"/>
        <w:tabs>
          <w:tab w:val="left" w:pos="7920"/>
        </w:tabs>
        <w:spacing w:line="560" w:lineRule="exact"/>
        <w:ind w:firstLine="606" w:firstLineChars="200"/>
        <w:rPr>
          <w:rFonts w:eastAsia="仿宋_GB2312"/>
          <w:szCs w:val="32"/>
        </w:rPr>
      </w:pPr>
      <w:r>
        <w:rPr>
          <w:rFonts w:eastAsia="仿宋_GB2312"/>
          <w:szCs w:val="32"/>
        </w:rPr>
        <w:t>（二）投资二级市场股票、期货、房地产、证券投资基金、评级AAA以下的企业债、信托产品、非保本型理财产品、保险计划及其他金融衍生品；</w:t>
      </w:r>
    </w:p>
    <w:p>
      <w:pPr>
        <w:pStyle w:val="3"/>
        <w:tabs>
          <w:tab w:val="left" w:pos="7920"/>
        </w:tabs>
        <w:spacing w:line="560" w:lineRule="exact"/>
        <w:ind w:firstLine="606" w:firstLineChars="200"/>
        <w:rPr>
          <w:rFonts w:eastAsia="仿宋_GB2312"/>
          <w:szCs w:val="32"/>
        </w:rPr>
      </w:pPr>
      <w:r>
        <w:rPr>
          <w:rFonts w:eastAsia="仿宋_GB2312"/>
          <w:szCs w:val="32"/>
        </w:rPr>
        <w:t>（三）向任何第三方提供赞助、捐赠（经批准的公益性捐赠除外）；</w:t>
      </w:r>
    </w:p>
    <w:p>
      <w:pPr>
        <w:pStyle w:val="3"/>
        <w:tabs>
          <w:tab w:val="left" w:pos="7920"/>
        </w:tabs>
        <w:spacing w:line="560" w:lineRule="exact"/>
        <w:ind w:firstLine="606" w:firstLineChars="200"/>
        <w:rPr>
          <w:rFonts w:eastAsia="仿宋_GB2312"/>
          <w:szCs w:val="32"/>
        </w:rPr>
      </w:pPr>
      <w:r>
        <w:rPr>
          <w:rFonts w:eastAsia="仿宋_GB2312"/>
          <w:szCs w:val="32"/>
        </w:rPr>
        <w:t>（四）吸收或变相吸收存款，或向第三方提供贷款和资金拆借（以股权投资为目的可转债除外，但不得从事明股实债）；</w:t>
      </w:r>
    </w:p>
    <w:p>
      <w:pPr>
        <w:pStyle w:val="3"/>
        <w:tabs>
          <w:tab w:val="left" w:pos="7920"/>
        </w:tabs>
        <w:spacing w:line="560" w:lineRule="exact"/>
        <w:ind w:firstLine="606" w:firstLineChars="200"/>
        <w:rPr>
          <w:rFonts w:eastAsia="仿宋_GB2312"/>
          <w:szCs w:val="32"/>
        </w:rPr>
      </w:pPr>
      <w:r>
        <w:rPr>
          <w:rFonts w:eastAsia="仿宋_GB2312"/>
          <w:szCs w:val="32"/>
        </w:rPr>
        <w:t>（五）进行承担无限连带责任的对外投资；</w:t>
      </w:r>
    </w:p>
    <w:p>
      <w:pPr>
        <w:pStyle w:val="3"/>
        <w:tabs>
          <w:tab w:val="left" w:pos="7920"/>
        </w:tabs>
        <w:spacing w:line="560" w:lineRule="exact"/>
        <w:ind w:firstLine="606" w:firstLineChars="200"/>
        <w:rPr>
          <w:rFonts w:eastAsia="仿宋_GB2312"/>
          <w:szCs w:val="32"/>
        </w:rPr>
      </w:pPr>
      <w:r>
        <w:rPr>
          <w:rFonts w:eastAsia="仿宋_GB2312"/>
          <w:szCs w:val="32"/>
        </w:rPr>
        <w:t>（六）发行信托或集合理财产品募集资金；</w:t>
      </w:r>
    </w:p>
    <w:p>
      <w:pPr>
        <w:pStyle w:val="3"/>
        <w:tabs>
          <w:tab w:val="left" w:pos="7920"/>
        </w:tabs>
        <w:spacing w:line="560" w:lineRule="exact"/>
        <w:ind w:firstLine="606" w:firstLineChars="200"/>
        <w:rPr>
          <w:rFonts w:eastAsia="仿宋_GB2312"/>
          <w:szCs w:val="32"/>
        </w:rPr>
      </w:pPr>
      <w:r>
        <w:rPr>
          <w:rFonts w:eastAsia="仿宋_GB2312"/>
          <w:szCs w:val="32"/>
        </w:rPr>
        <w:t>（七）其他法律法规禁止从事的业务。</w:t>
      </w:r>
    </w:p>
    <w:p>
      <w:pPr>
        <w:pStyle w:val="3"/>
        <w:tabs>
          <w:tab w:val="left" w:pos="7920"/>
        </w:tabs>
        <w:spacing w:line="560" w:lineRule="exact"/>
        <w:ind w:firstLine="606" w:firstLineChars="200"/>
        <w:rPr>
          <w:rFonts w:eastAsia="仿宋_GB2312"/>
          <w:szCs w:val="32"/>
        </w:rPr>
      </w:pPr>
      <w:r>
        <w:rPr>
          <w:rFonts w:eastAsia="黑体"/>
          <w:szCs w:val="32"/>
        </w:rPr>
        <w:t>第二十条</w:t>
      </w:r>
      <w:r>
        <w:rPr>
          <w:rFonts w:eastAsia="仿宋_GB2312"/>
          <w:szCs w:val="32"/>
        </w:rPr>
        <w:t>　子基金应实行银行托管。托管银行应具备从事基金托管业务的资质，受子基金委托承担资金监管职责。市级天使母基金选择具备基金托管资质的银行进行托管。</w:t>
      </w:r>
    </w:p>
    <w:p>
      <w:pPr>
        <w:pStyle w:val="3"/>
        <w:tabs>
          <w:tab w:val="left" w:pos="7920"/>
        </w:tabs>
        <w:spacing w:line="560" w:lineRule="exact"/>
        <w:ind w:firstLine="606" w:firstLineChars="200"/>
        <w:rPr>
          <w:rFonts w:eastAsia="仿宋_GB2312"/>
          <w:szCs w:val="32"/>
        </w:rPr>
      </w:pPr>
      <w:r>
        <w:rPr>
          <w:rFonts w:eastAsia="黑体"/>
          <w:szCs w:val="32"/>
        </w:rPr>
        <w:t>第二十一条</w:t>
      </w:r>
      <w:r>
        <w:rPr>
          <w:rFonts w:eastAsia="仿宋_GB2312"/>
          <w:szCs w:val="32"/>
        </w:rPr>
        <w:t>　子基金的实缴出资（实收资本）及收益应全部进入托管账户。托管银行应严格按照托管协议和子基金相关决策机构的决议办理银行支付手续。</w:t>
      </w:r>
    </w:p>
    <w:p>
      <w:pPr>
        <w:pStyle w:val="3"/>
        <w:tabs>
          <w:tab w:val="left" w:pos="7920"/>
        </w:tabs>
        <w:spacing w:line="560" w:lineRule="exact"/>
        <w:ind w:firstLine="606" w:firstLineChars="200"/>
        <w:rPr>
          <w:rFonts w:eastAsia="仿宋_GB2312"/>
          <w:szCs w:val="32"/>
        </w:rPr>
      </w:pPr>
      <w:r>
        <w:rPr>
          <w:rFonts w:eastAsia="黑体"/>
          <w:szCs w:val="32"/>
        </w:rPr>
        <w:t>第二十二条</w:t>
      </w:r>
      <w:r>
        <w:rPr>
          <w:rFonts w:eastAsia="仿宋_GB2312"/>
          <w:szCs w:val="32"/>
        </w:rPr>
        <w:t>　托管银行应按季度向天使母基金管理公司提交子基金托管报告，主要内容为托管账户的全部收支情况及子基金管理机构提供的决策依据。当托管银行不能按托管协议履行托管职责时，天使母基金管理公司有权要求子基金变更托管银行。</w:t>
      </w:r>
    </w:p>
    <w:p>
      <w:pPr>
        <w:pStyle w:val="3"/>
        <w:tabs>
          <w:tab w:val="left" w:pos="7920"/>
        </w:tabs>
        <w:spacing w:line="560" w:lineRule="exact"/>
        <w:ind w:firstLine="606" w:firstLineChars="200"/>
        <w:rPr>
          <w:rFonts w:eastAsia="仿宋_GB2312"/>
          <w:szCs w:val="32"/>
        </w:rPr>
      </w:pPr>
    </w:p>
    <w:p>
      <w:pPr>
        <w:pStyle w:val="3"/>
        <w:tabs>
          <w:tab w:val="left" w:pos="7920"/>
        </w:tabs>
        <w:spacing w:line="560" w:lineRule="exact"/>
        <w:ind w:firstLine="0" w:firstLineChars="0"/>
        <w:jc w:val="center"/>
        <w:rPr>
          <w:rFonts w:eastAsia="黑体"/>
          <w:szCs w:val="32"/>
        </w:rPr>
      </w:pPr>
      <w:r>
        <w:rPr>
          <w:rFonts w:eastAsia="黑体"/>
          <w:szCs w:val="32"/>
        </w:rPr>
        <w:t>第五章　市级天使母基金退出</w:t>
      </w:r>
    </w:p>
    <w:p>
      <w:pPr>
        <w:pStyle w:val="3"/>
        <w:tabs>
          <w:tab w:val="left" w:pos="7920"/>
        </w:tabs>
        <w:spacing w:line="560" w:lineRule="exact"/>
        <w:ind w:firstLine="606" w:firstLineChars="200"/>
        <w:rPr>
          <w:rFonts w:eastAsia="仿宋_GB2312"/>
          <w:szCs w:val="32"/>
          <w:lang w:val="en"/>
        </w:rPr>
      </w:pPr>
    </w:p>
    <w:p>
      <w:pPr>
        <w:pStyle w:val="3"/>
        <w:tabs>
          <w:tab w:val="left" w:pos="7920"/>
        </w:tabs>
        <w:spacing w:line="560" w:lineRule="exact"/>
        <w:ind w:firstLine="606" w:firstLineChars="200"/>
        <w:rPr>
          <w:rFonts w:eastAsia="仿宋_GB2312"/>
          <w:szCs w:val="32"/>
        </w:rPr>
      </w:pPr>
      <w:r>
        <w:rPr>
          <w:rFonts w:eastAsia="黑体"/>
          <w:szCs w:val="32"/>
        </w:rPr>
        <w:t>第二十三条</w:t>
      </w:r>
      <w:r>
        <w:rPr>
          <w:rFonts w:eastAsia="仿宋_GB2312"/>
          <w:szCs w:val="32"/>
        </w:rPr>
        <w:t>　自公示结束之日起1年内，未完成子基金注册或增资变更登记手续的，子基金获得市级天使母基金投资的资格自动取消。</w:t>
      </w:r>
    </w:p>
    <w:p>
      <w:pPr>
        <w:pStyle w:val="3"/>
        <w:tabs>
          <w:tab w:val="left" w:pos="7920"/>
        </w:tabs>
        <w:spacing w:line="560" w:lineRule="exact"/>
        <w:ind w:firstLine="606" w:firstLineChars="200"/>
        <w:rPr>
          <w:rFonts w:eastAsia="仿宋_GB2312"/>
          <w:szCs w:val="32"/>
        </w:rPr>
      </w:pPr>
      <w:r>
        <w:rPr>
          <w:rFonts w:eastAsia="黑体"/>
          <w:szCs w:val="32"/>
        </w:rPr>
        <w:t>第二十四条</w:t>
      </w:r>
      <w:r>
        <w:rPr>
          <w:rFonts w:eastAsia="仿宋_GB2312"/>
          <w:szCs w:val="32"/>
        </w:rPr>
        <w:t>　子基金合伙协议（或公司章程）中应明确，出现下列情况之一时，市级天使母基金可选择退出，且无需经由其他出资人同意：</w:t>
      </w:r>
    </w:p>
    <w:p>
      <w:pPr>
        <w:pStyle w:val="3"/>
        <w:tabs>
          <w:tab w:val="left" w:pos="7920"/>
        </w:tabs>
        <w:spacing w:line="560" w:lineRule="exact"/>
        <w:ind w:firstLine="606" w:firstLineChars="200"/>
        <w:rPr>
          <w:rFonts w:eastAsia="仿宋_GB2312"/>
          <w:szCs w:val="32"/>
        </w:rPr>
      </w:pPr>
      <w:r>
        <w:rPr>
          <w:rFonts w:eastAsia="仿宋_GB2312"/>
          <w:szCs w:val="32"/>
        </w:rPr>
        <w:t>（一）子基金注册或完成增资变更登记手续超过1年，除市级天使母基金外的其他出资人未完成首期实缴出资的，或子基金在规定时间内未完成后续实缴出资的；</w:t>
      </w:r>
    </w:p>
    <w:p>
      <w:pPr>
        <w:pStyle w:val="3"/>
        <w:tabs>
          <w:tab w:val="left" w:pos="7920"/>
        </w:tabs>
        <w:spacing w:line="560" w:lineRule="exact"/>
        <w:ind w:firstLine="606" w:firstLineChars="200"/>
        <w:rPr>
          <w:rFonts w:eastAsia="仿宋_GB2312"/>
          <w:szCs w:val="32"/>
        </w:rPr>
      </w:pPr>
      <w:r>
        <w:rPr>
          <w:rFonts w:eastAsia="仿宋_GB2312"/>
          <w:szCs w:val="32"/>
        </w:rPr>
        <w:t>（二）市级天使母基金向子基金账户拨付资金后，子基金未开展投资超过1年的；</w:t>
      </w:r>
    </w:p>
    <w:p>
      <w:pPr>
        <w:pStyle w:val="3"/>
        <w:tabs>
          <w:tab w:val="left" w:pos="7920"/>
        </w:tabs>
        <w:spacing w:line="560" w:lineRule="exact"/>
        <w:ind w:firstLine="606" w:firstLineChars="200"/>
        <w:rPr>
          <w:rFonts w:eastAsia="仿宋_GB2312"/>
          <w:szCs w:val="32"/>
        </w:rPr>
      </w:pPr>
      <w:r>
        <w:rPr>
          <w:rFonts w:eastAsia="仿宋_GB2312"/>
          <w:szCs w:val="32"/>
        </w:rPr>
        <w:t>（三）子基金未按照本办法规定及合伙协议（或公司章程）投资的；</w:t>
      </w:r>
    </w:p>
    <w:p>
      <w:pPr>
        <w:pStyle w:val="3"/>
        <w:tabs>
          <w:tab w:val="left" w:pos="7920"/>
        </w:tabs>
        <w:spacing w:line="560" w:lineRule="exact"/>
        <w:ind w:firstLine="606" w:firstLineChars="200"/>
        <w:rPr>
          <w:rFonts w:eastAsia="黑体"/>
          <w:szCs w:val="32"/>
        </w:rPr>
      </w:pPr>
      <w:r>
        <w:rPr>
          <w:rFonts w:eastAsia="仿宋_GB2312"/>
          <w:szCs w:val="32"/>
        </w:rPr>
        <w:t>（四）子基金管理机构的股东或普通合伙人发生实质性变化，对子基金投资运作产生不利影响的。</w:t>
      </w:r>
    </w:p>
    <w:p>
      <w:pPr>
        <w:pStyle w:val="3"/>
        <w:spacing w:line="560" w:lineRule="exact"/>
        <w:ind w:firstLine="680"/>
        <w:rPr>
          <w:rFonts w:eastAsia="仿宋_GB2312"/>
          <w:szCs w:val="32"/>
        </w:rPr>
      </w:pPr>
      <w:r>
        <w:rPr>
          <w:rFonts w:eastAsia="黑体"/>
          <w:szCs w:val="32"/>
        </w:rPr>
        <w:t>第二十五条</w:t>
      </w:r>
      <w:r>
        <w:rPr>
          <w:rFonts w:eastAsia="仿宋_GB2312"/>
          <w:szCs w:val="32"/>
        </w:rPr>
        <w:t>　为更好发挥政府资金的引导作用，市级天使母基金设置以下让利政策（直投基金不享受让利政策）：</w:t>
      </w:r>
    </w:p>
    <w:p>
      <w:pPr>
        <w:pStyle w:val="3"/>
        <w:tabs>
          <w:tab w:val="left" w:pos="7920"/>
        </w:tabs>
        <w:spacing w:line="560" w:lineRule="exact"/>
        <w:ind w:firstLine="606" w:firstLineChars="200"/>
        <w:rPr>
          <w:rFonts w:eastAsia="仿宋_GB2312"/>
          <w:szCs w:val="32"/>
        </w:rPr>
      </w:pPr>
      <w:r>
        <w:rPr>
          <w:rFonts w:eastAsia="仿宋_GB2312"/>
          <w:szCs w:val="32"/>
        </w:rPr>
        <w:t>子基金采取项目“即退即分”和基金整体“先回本后分利”原则。在各合伙人收回全部实缴出资后，若子基金满足本办法第十七条要求，市级天使母基金以其享有的该子基金</w:t>
      </w:r>
      <w:r>
        <w:rPr>
          <w:rFonts w:hint="eastAsia" w:eastAsia="仿宋_GB2312"/>
          <w:szCs w:val="32"/>
        </w:rPr>
        <w:t>返投</w:t>
      </w:r>
      <w:r>
        <w:rPr>
          <w:rFonts w:eastAsia="仿宋_GB2312"/>
          <w:szCs w:val="32"/>
        </w:rPr>
        <w:t>项目所得全部超额收益的一定比例让渡给子基金管理机构和其他出资人。让利比例与子基金出资比例挂钩，具体计算公式为：“政府出资部分让利比例=（1</w:t>
      </w:r>
      <w:r>
        <w:rPr>
          <w:rFonts w:hint="eastAsia" w:ascii="汉仪方隶简" w:hAnsi="汉仪方隶简" w:eastAsia="汉仪方隶简" w:cs="汉仪方隶简"/>
          <w:szCs w:val="32"/>
        </w:rPr>
        <w:t>－</w:t>
      </w:r>
      <w:r>
        <w:rPr>
          <w:rFonts w:eastAsia="仿宋_GB2312"/>
          <w:szCs w:val="32"/>
        </w:rPr>
        <w:t>政府出资比例）</w:t>
      </w:r>
      <w:r>
        <w:rPr>
          <w:rFonts w:hint="eastAsia" w:ascii="汉仪细圆B5" w:hAnsi="汉仪细圆B5" w:eastAsia="汉仪细圆B5" w:cs="汉仪细圆B5"/>
          <w:szCs w:val="32"/>
        </w:rPr>
        <w:t>×</w:t>
      </w:r>
      <w:r>
        <w:rPr>
          <w:rFonts w:eastAsia="仿宋_GB2312"/>
          <w:szCs w:val="32"/>
        </w:rPr>
        <w:t>社会资本出资比例”</w:t>
      </w:r>
      <w:r>
        <w:rPr>
          <w:rFonts w:hint="eastAsia" w:eastAsia="仿宋_GB2312"/>
          <w:szCs w:val="32"/>
        </w:rPr>
        <w:t>。</w:t>
      </w:r>
    </w:p>
    <w:p>
      <w:pPr>
        <w:pStyle w:val="3"/>
        <w:tabs>
          <w:tab w:val="left" w:pos="7920"/>
        </w:tabs>
        <w:spacing w:line="560" w:lineRule="exact"/>
        <w:ind w:firstLine="606" w:firstLineChars="200"/>
        <w:rPr>
          <w:rFonts w:eastAsia="仿宋_GB2312"/>
          <w:szCs w:val="32"/>
        </w:rPr>
      </w:pPr>
      <w:r>
        <w:rPr>
          <w:rFonts w:eastAsia="黑体"/>
          <w:szCs w:val="32"/>
        </w:rPr>
        <w:t>第二十六条</w:t>
      </w:r>
      <w:r>
        <w:rPr>
          <w:rFonts w:eastAsia="仿宋_GB2312"/>
          <w:szCs w:val="32"/>
        </w:rPr>
        <w:t>　市级天使母基金让利操作程序</w:t>
      </w:r>
    </w:p>
    <w:p>
      <w:pPr>
        <w:pStyle w:val="3"/>
        <w:tabs>
          <w:tab w:val="left" w:pos="7920"/>
        </w:tabs>
        <w:spacing w:line="560" w:lineRule="exact"/>
        <w:ind w:firstLine="606" w:firstLineChars="200"/>
        <w:rPr>
          <w:rFonts w:eastAsia="仿宋_GB2312"/>
          <w:szCs w:val="32"/>
        </w:rPr>
      </w:pPr>
      <w:r>
        <w:rPr>
          <w:rFonts w:eastAsia="仿宋_GB2312"/>
          <w:szCs w:val="32"/>
        </w:rPr>
        <w:t>（一）申请。满足条件的子基金管理机构可向天使母基金管理公司提出让利申请；</w:t>
      </w:r>
    </w:p>
    <w:p>
      <w:pPr>
        <w:pStyle w:val="3"/>
        <w:tabs>
          <w:tab w:val="left" w:pos="7920"/>
        </w:tabs>
        <w:spacing w:line="560" w:lineRule="exact"/>
        <w:ind w:firstLine="606" w:firstLineChars="200"/>
        <w:rPr>
          <w:rFonts w:eastAsia="仿宋_GB2312"/>
          <w:szCs w:val="32"/>
        </w:rPr>
      </w:pPr>
      <w:r>
        <w:rPr>
          <w:rFonts w:eastAsia="仿宋_GB2312"/>
          <w:szCs w:val="32"/>
        </w:rPr>
        <w:t>（二）审核。天使母基金管理公司独立或委托第三方机构对子基金管理机构的让利申请进行审核，并提出审核意见</w:t>
      </w:r>
      <w:r>
        <w:rPr>
          <w:rFonts w:hint="eastAsia" w:eastAsia="仿宋_GB2312"/>
          <w:szCs w:val="32"/>
        </w:rPr>
        <w:t>，审核意见应充分评估子基金返投、收益、合规等综合情况</w:t>
      </w:r>
      <w:r>
        <w:rPr>
          <w:rFonts w:eastAsia="仿宋_GB2312"/>
          <w:szCs w:val="32"/>
        </w:rPr>
        <w:t>；</w:t>
      </w:r>
    </w:p>
    <w:p>
      <w:pPr>
        <w:pStyle w:val="3"/>
        <w:tabs>
          <w:tab w:val="left" w:pos="7920"/>
        </w:tabs>
        <w:spacing w:line="560" w:lineRule="exact"/>
        <w:ind w:firstLine="606" w:firstLineChars="200"/>
        <w:rPr>
          <w:rFonts w:eastAsia="仿宋_GB2312"/>
          <w:szCs w:val="32"/>
        </w:rPr>
      </w:pPr>
      <w:r>
        <w:rPr>
          <w:rFonts w:eastAsia="仿宋_GB2312"/>
          <w:szCs w:val="32"/>
        </w:rPr>
        <w:t>（三）决策。完成申请审核后，天使母基金管理公司将让利申请和审核意见提交投资决策委员会进行审核；</w:t>
      </w:r>
    </w:p>
    <w:p>
      <w:pPr>
        <w:pStyle w:val="3"/>
        <w:tabs>
          <w:tab w:val="left" w:pos="7920"/>
        </w:tabs>
        <w:spacing w:line="560" w:lineRule="exact"/>
        <w:ind w:firstLine="606" w:firstLineChars="200"/>
        <w:rPr>
          <w:rFonts w:eastAsia="仿宋_GB2312"/>
          <w:szCs w:val="32"/>
        </w:rPr>
      </w:pPr>
      <w:r>
        <w:rPr>
          <w:rFonts w:eastAsia="仿宋_GB2312"/>
          <w:szCs w:val="32"/>
        </w:rPr>
        <w:t>（四）公示。天使母基金管理公司在投资决策委员会履行决策程序后10日内对让利方案进行社会公示，公示期为5个工作日。公示有异议的，启动相关调查程序；</w:t>
      </w:r>
    </w:p>
    <w:p>
      <w:pPr>
        <w:pStyle w:val="3"/>
        <w:tabs>
          <w:tab w:val="left" w:pos="7920"/>
        </w:tabs>
        <w:spacing w:line="560" w:lineRule="exact"/>
        <w:ind w:firstLine="606" w:firstLineChars="200"/>
        <w:rPr>
          <w:rFonts w:eastAsia="仿宋_GB2312"/>
          <w:szCs w:val="32"/>
        </w:rPr>
      </w:pPr>
      <w:r>
        <w:rPr>
          <w:rFonts w:eastAsia="仿宋_GB2312"/>
          <w:szCs w:val="32"/>
        </w:rPr>
        <w:t>（五）执行。社会公示无异议或有异议但经调查异议不成立的，市级天使母基金应当及时与子基金管理机构及全体出资人签署让利的相关法律文件并执行让利，让渡的超额收益的分配方式由子基金管理机构和其他出资人自行约定。</w:t>
      </w:r>
    </w:p>
    <w:p>
      <w:pPr>
        <w:pStyle w:val="3"/>
        <w:tabs>
          <w:tab w:val="left" w:pos="7920"/>
        </w:tabs>
        <w:spacing w:line="560" w:lineRule="exact"/>
        <w:ind w:firstLine="606" w:firstLineChars="200"/>
        <w:rPr>
          <w:rFonts w:eastAsia="仿宋_GB2312"/>
          <w:szCs w:val="32"/>
        </w:rPr>
      </w:pPr>
    </w:p>
    <w:p>
      <w:pPr>
        <w:pStyle w:val="3"/>
        <w:tabs>
          <w:tab w:val="left" w:pos="7920"/>
        </w:tabs>
        <w:spacing w:line="560" w:lineRule="exact"/>
        <w:ind w:firstLine="0" w:firstLineChars="0"/>
        <w:jc w:val="center"/>
        <w:rPr>
          <w:rFonts w:eastAsia="黑体"/>
          <w:szCs w:val="32"/>
        </w:rPr>
      </w:pPr>
      <w:r>
        <w:rPr>
          <w:rFonts w:eastAsia="黑体"/>
          <w:szCs w:val="32"/>
        </w:rPr>
        <w:t>第六章　监督管理</w:t>
      </w:r>
    </w:p>
    <w:p>
      <w:pPr>
        <w:pStyle w:val="3"/>
        <w:tabs>
          <w:tab w:val="left" w:pos="7920"/>
        </w:tabs>
        <w:spacing w:line="560" w:lineRule="exact"/>
        <w:ind w:firstLine="606" w:firstLineChars="200"/>
        <w:rPr>
          <w:rFonts w:eastAsia="仿宋_GB2312"/>
          <w:szCs w:val="32"/>
          <w:lang w:val="en"/>
        </w:rPr>
      </w:pPr>
    </w:p>
    <w:p>
      <w:pPr>
        <w:pStyle w:val="3"/>
        <w:tabs>
          <w:tab w:val="left" w:pos="7920"/>
        </w:tabs>
        <w:spacing w:line="560" w:lineRule="exact"/>
        <w:ind w:firstLine="606" w:firstLineChars="200"/>
        <w:rPr>
          <w:rFonts w:eastAsia="仿宋_GB2312"/>
          <w:szCs w:val="32"/>
        </w:rPr>
      </w:pPr>
      <w:r>
        <w:rPr>
          <w:rFonts w:eastAsia="黑体"/>
          <w:szCs w:val="32"/>
        </w:rPr>
        <w:t>第二十七条</w:t>
      </w:r>
      <w:r>
        <w:rPr>
          <w:rFonts w:eastAsia="仿宋_GB2312"/>
          <w:szCs w:val="32"/>
        </w:rPr>
        <w:t>　天使母基金管理公司不能有效履行职责、</w:t>
      </w:r>
      <w:r>
        <w:rPr>
          <w:rFonts w:hint="eastAsia" w:eastAsia="仿宋_GB2312"/>
          <w:szCs w:val="32"/>
        </w:rPr>
        <w:t>绩效</w:t>
      </w:r>
      <w:r>
        <w:rPr>
          <w:rFonts w:eastAsia="仿宋_GB2312"/>
          <w:szCs w:val="32"/>
        </w:rPr>
        <w:t>考核不合格的，取消其受托管理资格；天使母基金管理公司发生重大过失或违规行为等造成恶劣影响的，市科技局</w:t>
      </w:r>
      <w:r>
        <w:rPr>
          <w:rFonts w:hint="eastAsia" w:eastAsia="仿宋_GB2312"/>
          <w:szCs w:val="32"/>
        </w:rPr>
        <w:t>根据情节轻重</w:t>
      </w:r>
      <w:r>
        <w:rPr>
          <w:rFonts w:eastAsia="仿宋_GB2312"/>
          <w:szCs w:val="32"/>
        </w:rPr>
        <w:t>给予</w:t>
      </w:r>
      <w:r>
        <w:rPr>
          <w:rFonts w:hint="eastAsia" w:eastAsia="仿宋_GB2312"/>
          <w:szCs w:val="32"/>
        </w:rPr>
        <w:t>提醒、</w:t>
      </w:r>
      <w:r>
        <w:rPr>
          <w:rFonts w:eastAsia="仿宋_GB2312"/>
          <w:szCs w:val="32"/>
        </w:rPr>
        <w:t>约谈</w:t>
      </w:r>
      <w:r>
        <w:rPr>
          <w:rFonts w:hint="eastAsia" w:eastAsia="仿宋_GB2312"/>
          <w:szCs w:val="32"/>
        </w:rPr>
        <w:t>、</w:t>
      </w:r>
      <w:r>
        <w:rPr>
          <w:rFonts w:eastAsia="仿宋_GB2312"/>
          <w:szCs w:val="32"/>
        </w:rPr>
        <w:t>取消受托管理资格的处理，涉嫌犯罪的移送司法机关。</w:t>
      </w:r>
    </w:p>
    <w:p>
      <w:pPr>
        <w:pStyle w:val="3"/>
        <w:tabs>
          <w:tab w:val="left" w:pos="7920"/>
        </w:tabs>
        <w:spacing w:line="560" w:lineRule="exact"/>
        <w:ind w:firstLine="606" w:firstLineChars="200"/>
        <w:rPr>
          <w:rFonts w:eastAsia="仿宋_GB2312"/>
          <w:szCs w:val="32"/>
        </w:rPr>
      </w:pPr>
      <w:r>
        <w:rPr>
          <w:rFonts w:eastAsia="黑体"/>
          <w:szCs w:val="32"/>
        </w:rPr>
        <w:t>第二十八条</w:t>
      </w:r>
      <w:r>
        <w:rPr>
          <w:rFonts w:eastAsia="仿宋_GB2312"/>
          <w:szCs w:val="32"/>
        </w:rPr>
        <w:t>　市级天使母基金及子基金运行过程中涉及信息提供的单位和个人，应当保证所提供信息的真实、准确和完整，并对因虚假信息导致的后果承担责任。</w:t>
      </w:r>
    </w:p>
    <w:p>
      <w:pPr>
        <w:pStyle w:val="3"/>
        <w:tabs>
          <w:tab w:val="left" w:pos="7920"/>
        </w:tabs>
        <w:spacing w:line="560" w:lineRule="exact"/>
        <w:ind w:firstLine="606" w:firstLineChars="200"/>
        <w:rPr>
          <w:rFonts w:eastAsia="仿宋_GB2312"/>
          <w:szCs w:val="32"/>
        </w:rPr>
      </w:pPr>
      <w:r>
        <w:rPr>
          <w:rFonts w:eastAsia="黑体"/>
          <w:szCs w:val="32"/>
        </w:rPr>
        <w:t>第二十九条</w:t>
      </w:r>
      <w:r>
        <w:rPr>
          <w:rFonts w:eastAsia="仿宋_GB2312"/>
          <w:szCs w:val="32"/>
        </w:rPr>
        <w:t>　子基金管理机构和被投科技型企业不得弄虚作假骗取市级天使母基金支持。弄虚作假造成恶劣影响的，一经发现和查实，天使母基金管理公司有权提前单方解除相关协议并追讨投资和补偿资金，涉嫌犯罪的移送司法机关。对于出现上述行为的，取消子基金管理机构申请子基金资格，被投科技型企业纳入科研失信行为记录。</w:t>
      </w:r>
    </w:p>
    <w:p>
      <w:pPr>
        <w:pStyle w:val="3"/>
        <w:tabs>
          <w:tab w:val="left" w:pos="7920"/>
        </w:tabs>
        <w:spacing w:line="560" w:lineRule="exact"/>
        <w:ind w:firstLine="606" w:firstLineChars="200"/>
        <w:rPr>
          <w:rFonts w:eastAsia="仿宋_GB2312"/>
          <w:szCs w:val="32"/>
        </w:rPr>
      </w:pPr>
      <w:r>
        <w:rPr>
          <w:rFonts w:eastAsia="黑体"/>
          <w:szCs w:val="32"/>
        </w:rPr>
        <w:t>第三十条</w:t>
      </w:r>
      <w:r>
        <w:rPr>
          <w:rFonts w:eastAsia="仿宋_GB2312"/>
          <w:szCs w:val="32"/>
        </w:rPr>
        <w:t>　市级有关部门及市级天使母基金加强对区级天使母基金的指导。区级天使母基金根据自身实际情况制定相关管理制度，纳入天津市天使母基金统计口径。</w:t>
      </w:r>
    </w:p>
    <w:p>
      <w:pPr>
        <w:pStyle w:val="3"/>
        <w:tabs>
          <w:tab w:val="left" w:pos="7920"/>
        </w:tabs>
        <w:spacing w:line="560" w:lineRule="exact"/>
        <w:ind w:firstLine="606" w:firstLineChars="200"/>
        <w:rPr>
          <w:rFonts w:eastAsia="仿宋_GB2312"/>
          <w:szCs w:val="32"/>
        </w:rPr>
      </w:pPr>
      <w:r>
        <w:rPr>
          <w:rFonts w:eastAsia="黑体"/>
          <w:szCs w:val="32"/>
        </w:rPr>
        <w:t>第三十</w:t>
      </w:r>
      <w:r>
        <w:rPr>
          <w:rFonts w:hint="eastAsia" w:eastAsia="黑体"/>
          <w:szCs w:val="32"/>
        </w:rPr>
        <w:t>一</w:t>
      </w:r>
      <w:r>
        <w:rPr>
          <w:rFonts w:eastAsia="黑体"/>
          <w:szCs w:val="32"/>
        </w:rPr>
        <w:t>条</w:t>
      </w:r>
      <w:r>
        <w:rPr>
          <w:rFonts w:eastAsia="仿宋_GB2312"/>
          <w:szCs w:val="32"/>
        </w:rPr>
        <w:t>　对子基金出现的亏损，在不涉及违法违规、重大过失和其他道德风险的前提下，对市级天使母基金和子基金的管理人员以及相关监督管理机构和个人等不予追究责任。</w:t>
      </w:r>
    </w:p>
    <w:p>
      <w:pPr>
        <w:pStyle w:val="3"/>
        <w:tabs>
          <w:tab w:val="left" w:pos="7920"/>
        </w:tabs>
        <w:spacing w:line="560" w:lineRule="exact"/>
        <w:ind w:firstLine="606" w:firstLineChars="200"/>
        <w:rPr>
          <w:rFonts w:eastAsia="仿宋_GB2312"/>
          <w:szCs w:val="32"/>
        </w:rPr>
      </w:pPr>
    </w:p>
    <w:p>
      <w:pPr>
        <w:pStyle w:val="3"/>
        <w:tabs>
          <w:tab w:val="left" w:pos="7920"/>
        </w:tabs>
        <w:spacing w:line="560" w:lineRule="exact"/>
        <w:ind w:firstLine="0" w:firstLineChars="0"/>
        <w:jc w:val="center"/>
        <w:rPr>
          <w:rFonts w:eastAsia="黑体"/>
          <w:szCs w:val="32"/>
        </w:rPr>
      </w:pPr>
      <w:r>
        <w:rPr>
          <w:rFonts w:eastAsia="黑体"/>
          <w:szCs w:val="32"/>
        </w:rPr>
        <w:t>第七章　附　则</w:t>
      </w:r>
    </w:p>
    <w:p>
      <w:pPr>
        <w:pStyle w:val="3"/>
        <w:tabs>
          <w:tab w:val="left" w:pos="7920"/>
        </w:tabs>
        <w:spacing w:line="560" w:lineRule="exact"/>
        <w:ind w:firstLine="606" w:firstLineChars="200"/>
        <w:rPr>
          <w:rFonts w:eastAsia="仿宋_GB2312"/>
          <w:szCs w:val="32"/>
          <w:lang w:val="en"/>
        </w:rPr>
      </w:pPr>
    </w:p>
    <w:p>
      <w:pPr>
        <w:pStyle w:val="3"/>
        <w:tabs>
          <w:tab w:val="left" w:pos="7920"/>
        </w:tabs>
        <w:spacing w:line="560" w:lineRule="exact"/>
        <w:ind w:firstLine="606" w:firstLineChars="200"/>
        <w:rPr>
          <w:rFonts w:eastAsia="仿宋_GB2312"/>
          <w:szCs w:val="32"/>
        </w:rPr>
      </w:pPr>
      <w:r>
        <w:rPr>
          <w:rFonts w:eastAsia="黑体"/>
          <w:szCs w:val="32"/>
        </w:rPr>
        <w:t>第三十</w:t>
      </w:r>
      <w:r>
        <w:rPr>
          <w:rFonts w:hint="eastAsia" w:eastAsia="黑体"/>
          <w:szCs w:val="32"/>
        </w:rPr>
        <w:t>二</w:t>
      </w:r>
      <w:r>
        <w:rPr>
          <w:rFonts w:eastAsia="黑体"/>
          <w:szCs w:val="32"/>
        </w:rPr>
        <w:t>条</w:t>
      </w:r>
      <w:r>
        <w:rPr>
          <w:rFonts w:eastAsia="仿宋_GB2312"/>
          <w:szCs w:val="32"/>
        </w:rPr>
        <w:t>　本办法自印发之日起施行，有效期5年。</w:t>
      </w:r>
      <w:r>
        <w:rPr>
          <w:rFonts w:hint="eastAsia" w:eastAsia="仿宋_GB2312"/>
          <w:szCs w:val="32"/>
        </w:rPr>
        <w:t>市级天使</w:t>
      </w:r>
      <w:r>
        <w:rPr>
          <w:rFonts w:eastAsia="仿宋_GB2312"/>
          <w:szCs w:val="32"/>
        </w:rPr>
        <w:t>母基金在</w:t>
      </w:r>
      <w:r>
        <w:rPr>
          <w:rFonts w:hint="eastAsia" w:eastAsia="仿宋_GB2312"/>
          <w:szCs w:val="32"/>
        </w:rPr>
        <w:t>本</w:t>
      </w:r>
      <w:r>
        <w:rPr>
          <w:rFonts w:eastAsia="仿宋_GB2312"/>
          <w:szCs w:val="32"/>
        </w:rPr>
        <w:t>办法有效期内</w:t>
      </w:r>
      <w:r>
        <w:rPr>
          <w:rFonts w:hint="eastAsia" w:eastAsia="仿宋_GB2312"/>
          <w:szCs w:val="32"/>
        </w:rPr>
        <w:t>决策设立</w:t>
      </w:r>
      <w:r>
        <w:rPr>
          <w:rFonts w:eastAsia="仿宋_GB2312"/>
          <w:szCs w:val="32"/>
        </w:rPr>
        <w:t>子基金，办法到期后</w:t>
      </w:r>
      <w:r>
        <w:rPr>
          <w:rFonts w:hint="eastAsia" w:eastAsia="仿宋_GB2312"/>
          <w:szCs w:val="32"/>
        </w:rPr>
        <w:t>不再参投新设子基金</w:t>
      </w:r>
      <w:r>
        <w:rPr>
          <w:rFonts w:eastAsia="仿宋_GB2312"/>
          <w:szCs w:val="32"/>
        </w:rPr>
        <w:t>，</w:t>
      </w:r>
      <w:r>
        <w:rPr>
          <w:rFonts w:hint="eastAsia" w:eastAsia="仿宋_GB2312"/>
          <w:szCs w:val="32"/>
        </w:rPr>
        <w:t>根据已投子基金协议或章程履行出资责任，</w:t>
      </w:r>
      <w:r>
        <w:rPr>
          <w:rFonts w:eastAsia="仿宋_GB2312"/>
          <w:szCs w:val="32"/>
        </w:rPr>
        <w:t>待已投子基金全部退出后进行清算，市财政按规定收回出资及收益。原《天津市天使投资引导基金管理暂行办法》（津科规〔2022〕4号）同时废止，按照原《天津市天使投资引导基金管理暂行办法》（津科规〔2022〕4号）设立的子基金相关协议与本办法相关条款不一致的，以协议约定为准。</w:t>
      </w:r>
    </w:p>
    <w:p>
      <w:pPr>
        <w:pStyle w:val="3"/>
        <w:tabs>
          <w:tab w:val="left" w:pos="7920"/>
        </w:tabs>
        <w:spacing w:line="560" w:lineRule="exact"/>
        <w:ind w:firstLine="606" w:firstLineChars="200"/>
        <w:rPr>
          <w:rFonts w:eastAsia="仿宋_GB2312"/>
          <w:szCs w:val="32"/>
        </w:rPr>
      </w:pPr>
    </w:p>
    <w:p>
      <w:pPr>
        <w:pStyle w:val="3"/>
        <w:tabs>
          <w:tab w:val="left" w:pos="7920"/>
        </w:tabs>
        <w:spacing w:line="560" w:lineRule="exact"/>
        <w:ind w:firstLine="606" w:firstLineChars="200"/>
        <w:rPr>
          <w:rFonts w:eastAsia="仿宋_GB2312"/>
          <w:szCs w:val="32"/>
        </w:rPr>
      </w:pPr>
    </w:p>
    <w:p>
      <w:pPr>
        <w:pStyle w:val="3"/>
        <w:tabs>
          <w:tab w:val="left" w:pos="7920"/>
        </w:tabs>
        <w:spacing w:line="560" w:lineRule="exact"/>
        <w:ind w:firstLine="606" w:firstLineChars="200"/>
        <w:rPr>
          <w:del w:id="52" w:author="ljm" w:date="2025-11-04T09:55:00Z"/>
          <w:rFonts w:eastAsia="仿宋_GB2312"/>
          <w:szCs w:val="32"/>
        </w:rPr>
      </w:pPr>
    </w:p>
    <w:p>
      <w:pPr>
        <w:pStyle w:val="3"/>
        <w:tabs>
          <w:tab w:val="left" w:pos="7920"/>
        </w:tabs>
        <w:spacing w:line="560" w:lineRule="exact"/>
        <w:ind w:firstLine="606" w:firstLineChars="200"/>
        <w:rPr>
          <w:del w:id="53" w:author="ljm" w:date="2025-11-04T09:55:00Z"/>
          <w:rFonts w:eastAsia="仿宋_GB2312"/>
          <w:szCs w:val="32"/>
        </w:rPr>
      </w:pPr>
    </w:p>
    <w:p>
      <w:pPr>
        <w:pStyle w:val="3"/>
        <w:tabs>
          <w:tab w:val="left" w:pos="7920"/>
        </w:tabs>
        <w:spacing w:line="560" w:lineRule="exact"/>
        <w:ind w:firstLine="606" w:firstLineChars="200"/>
        <w:rPr>
          <w:del w:id="54" w:author="ljm" w:date="2025-11-04T09:55:00Z"/>
          <w:rFonts w:eastAsia="仿宋_GB2312"/>
          <w:szCs w:val="32"/>
        </w:rPr>
      </w:pPr>
    </w:p>
    <w:p>
      <w:pPr>
        <w:pStyle w:val="3"/>
        <w:tabs>
          <w:tab w:val="left" w:pos="7920"/>
        </w:tabs>
        <w:spacing w:line="560" w:lineRule="exact"/>
        <w:ind w:firstLine="606" w:firstLineChars="200"/>
        <w:rPr>
          <w:del w:id="55" w:author="ljm" w:date="2025-11-04T09:55:00Z"/>
          <w:rFonts w:eastAsia="仿宋_GB2312"/>
          <w:szCs w:val="32"/>
        </w:rPr>
      </w:pPr>
    </w:p>
    <w:p>
      <w:pPr>
        <w:pStyle w:val="3"/>
        <w:tabs>
          <w:tab w:val="left" w:pos="7920"/>
        </w:tabs>
        <w:spacing w:line="560" w:lineRule="exact"/>
        <w:ind w:firstLine="606" w:firstLineChars="200"/>
        <w:rPr>
          <w:del w:id="56" w:author="ljm" w:date="2025-11-04T09:55:00Z"/>
          <w:rFonts w:eastAsia="仿宋_GB2312"/>
          <w:szCs w:val="32"/>
        </w:rPr>
      </w:pPr>
    </w:p>
    <w:p>
      <w:pPr>
        <w:pStyle w:val="3"/>
        <w:tabs>
          <w:tab w:val="left" w:pos="7920"/>
        </w:tabs>
        <w:spacing w:line="560" w:lineRule="exact"/>
        <w:ind w:firstLine="606" w:firstLineChars="200"/>
        <w:rPr>
          <w:del w:id="57" w:author="ljm" w:date="2025-11-04T09:55:00Z"/>
          <w:rFonts w:eastAsia="仿宋_GB2312"/>
          <w:szCs w:val="32"/>
        </w:rPr>
      </w:pPr>
    </w:p>
    <w:p>
      <w:pPr>
        <w:pStyle w:val="3"/>
        <w:tabs>
          <w:tab w:val="left" w:pos="7920"/>
        </w:tabs>
        <w:spacing w:line="560" w:lineRule="exact"/>
        <w:ind w:firstLine="606" w:firstLineChars="200"/>
        <w:rPr>
          <w:del w:id="58" w:author="ljm" w:date="2025-11-04T09:55:00Z"/>
          <w:rFonts w:eastAsia="仿宋_GB2312"/>
          <w:szCs w:val="32"/>
        </w:rPr>
      </w:pPr>
    </w:p>
    <w:p>
      <w:pPr>
        <w:pStyle w:val="3"/>
        <w:tabs>
          <w:tab w:val="left" w:pos="7920"/>
        </w:tabs>
        <w:spacing w:line="560" w:lineRule="exact"/>
        <w:ind w:firstLine="606" w:firstLineChars="200"/>
        <w:rPr>
          <w:del w:id="59" w:author="ljm" w:date="2025-11-04T09:55:00Z"/>
          <w:rFonts w:eastAsia="仿宋_GB2312"/>
          <w:szCs w:val="32"/>
        </w:rPr>
      </w:pPr>
    </w:p>
    <w:p>
      <w:pPr>
        <w:pStyle w:val="3"/>
        <w:tabs>
          <w:tab w:val="left" w:pos="7920"/>
        </w:tabs>
        <w:spacing w:line="560" w:lineRule="exact"/>
        <w:ind w:firstLine="606" w:firstLineChars="200"/>
        <w:rPr>
          <w:del w:id="60" w:author="ljm" w:date="2025-11-04T09:55:00Z"/>
          <w:rFonts w:eastAsia="仿宋_GB2312"/>
          <w:szCs w:val="32"/>
        </w:rPr>
      </w:pPr>
    </w:p>
    <w:p>
      <w:pPr>
        <w:pStyle w:val="3"/>
        <w:tabs>
          <w:tab w:val="left" w:pos="7920"/>
        </w:tabs>
        <w:spacing w:line="560" w:lineRule="exact"/>
        <w:ind w:firstLine="606" w:firstLineChars="200"/>
        <w:rPr>
          <w:del w:id="61" w:author="ljm" w:date="2025-11-04T09:55:00Z"/>
          <w:rFonts w:eastAsia="仿宋_GB2312"/>
          <w:szCs w:val="32"/>
        </w:rPr>
      </w:pPr>
    </w:p>
    <w:p>
      <w:pPr>
        <w:pStyle w:val="3"/>
        <w:tabs>
          <w:tab w:val="left" w:pos="7920"/>
        </w:tabs>
        <w:spacing w:line="560" w:lineRule="exact"/>
        <w:ind w:firstLine="606" w:firstLineChars="200"/>
        <w:rPr>
          <w:del w:id="62" w:author="ljm" w:date="2025-11-04T09:55:00Z"/>
          <w:rFonts w:eastAsia="仿宋_GB2312"/>
          <w:szCs w:val="32"/>
        </w:rPr>
      </w:pPr>
    </w:p>
    <w:p>
      <w:pPr>
        <w:pStyle w:val="3"/>
        <w:tabs>
          <w:tab w:val="left" w:pos="7920"/>
        </w:tabs>
        <w:spacing w:line="560" w:lineRule="exact"/>
        <w:ind w:firstLine="606" w:firstLineChars="200"/>
        <w:rPr>
          <w:del w:id="63" w:author="ljm" w:date="2025-11-04T09:55:00Z"/>
          <w:rFonts w:eastAsia="仿宋_GB2312"/>
          <w:szCs w:val="32"/>
        </w:rPr>
      </w:pPr>
    </w:p>
    <w:p>
      <w:pPr>
        <w:pStyle w:val="3"/>
        <w:tabs>
          <w:tab w:val="left" w:pos="7920"/>
        </w:tabs>
        <w:spacing w:line="560" w:lineRule="exact"/>
        <w:ind w:firstLine="606" w:firstLineChars="200"/>
        <w:rPr>
          <w:del w:id="64" w:author="ljm" w:date="2025-11-04T09:55:00Z"/>
          <w:rFonts w:eastAsia="仿宋_GB2312"/>
          <w:szCs w:val="32"/>
        </w:rPr>
      </w:pPr>
    </w:p>
    <w:p>
      <w:pPr>
        <w:pStyle w:val="3"/>
        <w:tabs>
          <w:tab w:val="left" w:pos="7920"/>
        </w:tabs>
        <w:spacing w:line="560" w:lineRule="exact"/>
        <w:ind w:firstLine="606" w:firstLineChars="200"/>
        <w:rPr>
          <w:del w:id="65" w:author="ljm" w:date="2025-11-04T09:55:00Z"/>
          <w:rFonts w:eastAsia="仿宋_GB2312"/>
          <w:szCs w:val="32"/>
        </w:rPr>
      </w:pPr>
    </w:p>
    <w:p>
      <w:pPr>
        <w:pStyle w:val="3"/>
        <w:tabs>
          <w:tab w:val="left" w:pos="7920"/>
        </w:tabs>
        <w:spacing w:line="560" w:lineRule="exact"/>
        <w:ind w:firstLine="606" w:firstLineChars="200"/>
        <w:rPr>
          <w:del w:id="66" w:author="ljm" w:date="2025-11-04T09:55:00Z"/>
          <w:rFonts w:eastAsia="仿宋_GB2312"/>
          <w:szCs w:val="32"/>
        </w:rPr>
      </w:pPr>
    </w:p>
    <w:p>
      <w:pPr>
        <w:pStyle w:val="3"/>
        <w:tabs>
          <w:tab w:val="left" w:pos="7920"/>
        </w:tabs>
        <w:spacing w:line="560" w:lineRule="exact"/>
        <w:ind w:firstLine="606" w:firstLineChars="200"/>
        <w:rPr>
          <w:del w:id="67" w:author="ljm" w:date="2025-11-04T09:55:00Z"/>
          <w:rFonts w:eastAsia="仿宋_GB2312"/>
          <w:szCs w:val="32"/>
        </w:rPr>
      </w:pPr>
    </w:p>
    <w:p>
      <w:pPr>
        <w:pStyle w:val="3"/>
        <w:tabs>
          <w:tab w:val="left" w:pos="7920"/>
        </w:tabs>
        <w:spacing w:line="560" w:lineRule="exact"/>
        <w:ind w:firstLine="0" w:firstLineChars="0"/>
        <w:rPr>
          <w:del w:id="68" w:author="ljm" w:date="2025-11-04T09:55:00Z"/>
          <w:rFonts w:eastAsia="仿宋_GB2312"/>
          <w:szCs w:val="32"/>
        </w:rPr>
      </w:pPr>
    </w:p>
    <w:p>
      <w:pPr>
        <w:pStyle w:val="3"/>
        <w:tabs>
          <w:tab w:val="left" w:pos="7920"/>
        </w:tabs>
        <w:spacing w:line="560" w:lineRule="exact"/>
        <w:ind w:firstLine="0" w:firstLineChars="0"/>
        <w:rPr>
          <w:del w:id="69" w:author="ljm" w:date="2025-11-04T09:55:00Z"/>
          <w:rFonts w:eastAsia="仿宋_GB2312"/>
          <w:szCs w:val="32"/>
        </w:rPr>
      </w:pPr>
    </w:p>
    <w:p>
      <w:pPr>
        <w:pStyle w:val="3"/>
        <w:tabs>
          <w:tab w:val="left" w:pos="7920"/>
        </w:tabs>
        <w:spacing w:line="560" w:lineRule="exact"/>
        <w:ind w:firstLine="0" w:firstLineChars="0"/>
        <w:rPr>
          <w:del w:id="70" w:author="ljm" w:date="2025-11-04T09:55:00Z"/>
          <w:rFonts w:eastAsia="仿宋_GB2312"/>
          <w:szCs w:val="32"/>
        </w:rPr>
      </w:pPr>
    </w:p>
    <w:p>
      <w:pPr>
        <w:pStyle w:val="3"/>
        <w:tabs>
          <w:tab w:val="left" w:pos="7920"/>
        </w:tabs>
        <w:spacing w:line="560" w:lineRule="exact"/>
        <w:ind w:firstLine="0" w:firstLineChars="0"/>
        <w:rPr>
          <w:del w:id="71" w:author="ljm" w:date="2025-11-04T09:55:00Z"/>
          <w:rFonts w:eastAsia="仿宋_GB2312"/>
          <w:szCs w:val="32"/>
        </w:rPr>
      </w:pPr>
    </w:p>
    <w:p>
      <w:pPr>
        <w:rPr>
          <w:del w:id="72" w:author="ljm" w:date="2025-11-04T09:55:00Z"/>
          <w:rFonts w:ascii="仿宋_GB2312" w:eastAsia="仿宋_GB2312"/>
          <w:sz w:val="28"/>
          <w:szCs w:val="28"/>
        </w:rPr>
      </w:pPr>
      <w:del w:id="73" w:author="ljm" w:date="2025-11-04T09:55:00Z">
        <w:r>
          <w:rPr>
            <w:rFonts w:hint="eastAsia" w:ascii="仿宋_GB2312" w:eastAsia="仿宋_GB2312"/>
            <w:sz w:val="28"/>
            <w:szCs w:val="28"/>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46990</wp:posOffset>
                  </wp:positionV>
                  <wp:extent cx="5615940" cy="0"/>
                  <wp:effectExtent l="0" t="9525" r="3810" b="9525"/>
                  <wp:wrapNone/>
                  <wp:docPr id="3" name="直接连接符 3"/>
                  <wp:cNvGraphicFramePr/>
                  <a:graphic xmlns:a="http://schemas.openxmlformats.org/drawingml/2006/main">
                    <a:graphicData uri="http://schemas.microsoft.com/office/word/2010/wordprocessingShape">
                      <wps:wsp>
                        <wps:cNvCnPr/>
                        <wps:spPr>
                          <a:xfrm>
                            <a:off x="0" y="0"/>
                            <a:ext cx="5615940" cy="0"/>
                          </a:xfrm>
                          <a:prstGeom prst="line">
                            <a:avLst/>
                          </a:prstGeom>
                          <a:ln w="19050"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pt;margin-top:3.7pt;height:0pt;width:442.2pt;z-index:251661312;mso-width-relative:page;mso-height-relative:page;" filled="f" stroked="t" coordsize="21600,21600" o:gfxdata="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c3xFutEA&#10;AAAEAQAADwAAAAAAAAABACAAAAAiAAAAZHJzL2Rvd25yZXYueG1sUEsBAhQAFAAAAAgAh07iQMXR&#10;Z9rtAQAA2QMAAA4AAAAAAAAAAQAgAAAAIAEAAGRycy9lMm9Eb2MueG1sUEsFBgAAAAAGAAYAWQEA&#10;AH8FAAAAAA==&#10;">
                  <v:fill on="f" focussize="0,0"/>
                  <v:stroke weight="1.5pt" color="#000000" joinstyle="round"/>
                  <v:imagedata o:title=""/>
                  <o:lock v:ext="edit" aspectratio="f"/>
                </v:line>
              </w:pict>
            </mc:Fallback>
          </mc:AlternateContent>
        </w:r>
      </w:del>
      <w:del w:id="75" w:author="ljm" w:date="2025-11-04T09:55:00Z">
        <w:r>
          <w:rPr>
            <w:rFonts w:hint="eastAsia" w:ascii="仿宋_GB2312" w:eastAsia="仿宋_GB2312"/>
            <w:sz w:val="28"/>
            <w:szCs w:val="28"/>
          </w:rPr>
          <w:delText xml:space="preserve">  抄送：高新区管委会、东疆综合保税区管委会、市科技创新发展中心、</w:delText>
        </w:r>
      </w:del>
    </w:p>
    <w:p>
      <w:pPr>
        <w:rPr>
          <w:del w:id="76" w:author="ljm" w:date="2025-11-04T09:55:00Z"/>
          <w:rFonts w:ascii="仿宋_GB2312" w:eastAsia="仿宋_GB2312"/>
          <w:sz w:val="28"/>
          <w:szCs w:val="28"/>
        </w:rPr>
      </w:pPr>
      <w:del w:id="77" w:author="ljm" w:date="2025-11-04T09:55:00Z">
        <w:r>
          <w:rPr>
            <w:rFonts w:hint="eastAsia" w:ascii="仿宋_GB2312" w:eastAsia="仿宋_GB2312"/>
            <w:sz w:val="28"/>
            <w:szCs w:val="28"/>
          </w:rPr>
          <w:delText xml:space="preserve">        海河产业基金管理有限公司。</w:delText>
        </w:r>
      </w:del>
    </w:p>
    <w:p>
      <w:pPr>
        <w:ind w:right="-1" w:rightChars="-1" w:firstLine="263" w:firstLineChars="100"/>
        <w:rPr>
          <w:del w:id="78" w:author="ljm" w:date="2025-11-04T09:55:00Z"/>
          <w:rFonts w:ascii="仿宋_GB2312" w:eastAsia="仿宋_GB2312"/>
          <w:snapToGrid w:val="0"/>
          <w:kern w:val="0"/>
          <w:sz w:val="32"/>
          <w:szCs w:val="32"/>
        </w:rPr>
      </w:pPr>
      <w:del w:id="79" w:author="ljm" w:date="2025-11-04T09:55:00Z">
        <w:r>
          <w:rPr>
            <w:rFonts w:hint="eastAsia" w:ascii="仿宋_GB2312" w:eastAsia="仿宋_GB2312"/>
            <w:sz w:val="28"/>
            <w:szCs w:val="28"/>
          </w:rPr>
          <mc:AlternateContent>
            <mc:Choice Requires="wps">
              <w:drawing>
                <wp:anchor distT="0" distB="0" distL="114300" distR="114300" simplePos="0" relativeHeight="251662336" behindDoc="0" locked="0" layoutInCell="0" allowOverlap="1">
                  <wp:simplePos x="0" y="0"/>
                  <wp:positionH relativeFrom="column">
                    <wp:posOffset>0</wp:posOffset>
                  </wp:positionH>
                  <wp:positionV relativeFrom="paragraph">
                    <wp:posOffset>4445</wp:posOffset>
                  </wp:positionV>
                  <wp:extent cx="5615940" cy="0"/>
                  <wp:effectExtent l="0" t="0" r="0" b="0"/>
                  <wp:wrapNone/>
                  <wp:docPr id="4" name="直接连接符 4"/>
                  <wp:cNvGraphicFramePr/>
                  <a:graphic xmlns:a="http://schemas.openxmlformats.org/drawingml/2006/main">
                    <a:graphicData uri="http://schemas.microsoft.com/office/word/2010/wordprocessingShape">
                      <wps:wsp>
                        <wps:cNvCnPr/>
                        <wps:spPr>
                          <a:xfrm>
                            <a:off x="0" y="0"/>
                            <a:ext cx="5615940" cy="0"/>
                          </a:xfrm>
                          <a:prstGeom prst="line">
                            <a:avLst/>
                          </a:prstGeom>
                          <a:ln w="317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pt;margin-top:0.35pt;height:0pt;width:442.2pt;z-index:251662336;mso-width-relative:page;mso-height-relative:page;" filled="f" stroked="t" coordsize="21600,21600" o:allowincell="f" o:gfxdata="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LIFv&#10;0wAAAAIBAAAPAAAAAAAAAAEAIAAAACIAAABkcnMvZG93bnJldi54bWxQSwECFAAUAAAACACHTuJA&#10;4kLezO0BAADYAwAADgAAAAAAAAABACAAAAAiAQAAZHJzL2Uyb0RvYy54bWxQSwUGAAAAAAYABgBZ&#10;AQAAgQUAAAAA&#10;">
                  <v:fill on="f" focussize="0,0"/>
                  <v:stroke weight="0.25pt" color="#000000" joinstyle="round"/>
                  <v:imagedata o:title=""/>
                  <o:lock v:ext="edit" aspectratio="f"/>
                </v:line>
              </w:pict>
            </mc:Fallback>
          </mc:AlternateContent>
        </w:r>
      </w:del>
      <w:del w:id="81" w:author="ljm" w:date="2025-11-04T09:55:00Z">
        <w:r>
          <w:rPr>
            <w:rFonts w:hint="eastAsia" w:ascii="仿宋_GB2312" w:eastAsia="仿宋_GB2312"/>
            <w:sz w:val="28"/>
            <w:szCs w:val="28"/>
          </w:rPr>
          <mc:AlternateContent>
            <mc:Choice Requires="wps">
              <w:drawing>
                <wp:anchor distT="0" distB="0" distL="114300" distR="114300" simplePos="0" relativeHeight="251663360" behindDoc="0" locked="0" layoutInCell="0" allowOverlap="1">
                  <wp:simplePos x="0" y="0"/>
                  <wp:positionH relativeFrom="column">
                    <wp:posOffset>0</wp:posOffset>
                  </wp:positionH>
                  <wp:positionV relativeFrom="paragraph">
                    <wp:posOffset>379095</wp:posOffset>
                  </wp:positionV>
                  <wp:extent cx="5615940" cy="0"/>
                  <wp:effectExtent l="0" t="9525" r="3810" b="9525"/>
                  <wp:wrapNone/>
                  <wp:docPr id="2" name="直接连接符 2"/>
                  <wp:cNvGraphicFramePr/>
                  <a:graphic xmlns:a="http://schemas.openxmlformats.org/drawingml/2006/main">
                    <a:graphicData uri="http://schemas.microsoft.com/office/word/2010/wordprocessingShape">
                      <wps:wsp>
                        <wps:cNvCnPr/>
                        <wps:spPr>
                          <a:xfrm>
                            <a:off x="0" y="0"/>
                            <a:ext cx="5615940" cy="0"/>
                          </a:xfrm>
                          <a:prstGeom prst="line">
                            <a:avLst/>
                          </a:prstGeom>
                          <a:ln w="19050"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pt;margin-top:29.85pt;height:0pt;width:442.2pt;z-index:251663360;mso-width-relative:page;mso-height-relative:page;" filled="f" stroked="t" coordsize="21600,21600" o:allowincell="f" o:gfxdata="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Nvmu57T&#10;AAAABgEAAA8AAAAAAAAAAQAgAAAAIgAAAGRycy9kb3ducmV2LnhtbFBLAQIUABQAAAAIAIdO4kDr&#10;e3IX7AEAANkDAAAOAAAAAAAAAAEAIAAAACIBAABkcnMvZTJvRG9jLnhtbFBLBQYAAAAABgAGAFkB&#10;AACABQAAAAA=&#10;">
                  <v:fill on="f" focussize="0,0"/>
                  <v:stroke weight="1.5pt" color="#000000" joinstyle="round"/>
                  <v:imagedata o:title=""/>
                  <o:lock v:ext="edit" aspectratio="f"/>
                </v:line>
              </w:pict>
            </mc:Fallback>
          </mc:AlternateContent>
        </w:r>
      </w:del>
      <w:del w:id="83" w:author="ljm" w:date="2025-11-04T09:55:00Z">
        <w:r>
          <w:rPr>
            <w:rFonts w:hint="eastAsia" w:ascii="仿宋_GB2312" w:eastAsia="仿宋_GB2312"/>
            <w:sz w:val="28"/>
            <w:szCs w:val="28"/>
          </w:rPr>
          <w:delText xml:space="preserve">天津市科学技术局办公室                     </w:delText>
        </w:r>
      </w:del>
      <w:del w:id="84" w:author="ljm" w:date="2025-11-04T09:55:00Z">
        <w:r>
          <w:rPr>
            <w:rFonts w:ascii="仿宋_GB2312" w:eastAsia="仿宋_GB2312"/>
            <w:sz w:val="28"/>
            <w:szCs w:val="28"/>
            <w:lang w:val="en"/>
          </w:rPr>
          <w:delText xml:space="preserve"> </w:delText>
        </w:r>
      </w:del>
      <w:del w:id="85" w:author="ljm" w:date="2025-11-04T09:55:00Z">
        <w:r>
          <w:rPr>
            <w:rFonts w:eastAsia="仿宋_GB2312"/>
            <w:sz w:val="28"/>
            <w:szCs w:val="28"/>
          </w:rPr>
          <w:delText xml:space="preserve"> </w:delText>
        </w:r>
      </w:del>
      <w:del w:id="86" w:author="ljm" w:date="2025-11-04T09:55:00Z">
        <w:r>
          <w:rPr>
            <w:rFonts w:hint="eastAsia" w:ascii="Nimbus Roman No9 L" w:hAnsi="Nimbus Roman No9 L" w:eastAsia="Nimbus Roman No9 L" w:cs="Nimbus Roman No9 L"/>
            <w:sz w:val="28"/>
            <w:szCs w:val="28"/>
          </w:rPr>
          <w:delText>20</w:delText>
        </w:r>
      </w:del>
      <w:del w:id="87" w:author="ljm" w:date="2025-11-04T09:55:00Z">
        <w:r>
          <w:rPr>
            <w:rFonts w:hint="eastAsia" w:ascii="Nimbus Roman No9 L" w:hAnsi="Nimbus Roman No9 L" w:cs="Nimbus Roman No9 L"/>
            <w:sz w:val="28"/>
            <w:szCs w:val="28"/>
          </w:rPr>
          <w:delText>25</w:delText>
        </w:r>
      </w:del>
      <w:del w:id="88" w:author="ljm" w:date="2025-11-04T09:55:00Z">
        <w:r>
          <w:rPr>
            <w:rFonts w:eastAsia="仿宋_GB2312"/>
            <w:sz w:val="28"/>
            <w:szCs w:val="28"/>
          </w:rPr>
          <w:delText>年</w:delText>
        </w:r>
      </w:del>
      <w:del w:id="89" w:author="ljm" w:date="2025-11-04T09:55:00Z">
        <w:r>
          <w:rPr>
            <w:rFonts w:hint="eastAsia" w:ascii="Nimbus Roman No9 L" w:hAnsi="Nimbus Roman No9 L" w:cs="Nimbus Roman No9 L"/>
            <w:sz w:val="28"/>
            <w:szCs w:val="28"/>
          </w:rPr>
          <w:delText>9</w:delText>
        </w:r>
      </w:del>
      <w:del w:id="90" w:author="ljm" w:date="2025-11-04T09:55:00Z">
        <w:r>
          <w:rPr>
            <w:rFonts w:eastAsia="仿宋_GB2312"/>
            <w:sz w:val="28"/>
            <w:szCs w:val="28"/>
          </w:rPr>
          <w:delText>月</w:delText>
        </w:r>
      </w:del>
      <w:del w:id="91" w:author="ljm" w:date="2025-11-04T09:55:00Z">
        <w:r>
          <w:rPr>
            <w:rFonts w:eastAsia="仿宋_GB2312"/>
            <w:sz w:val="28"/>
            <w:szCs w:val="28"/>
            <w:lang w:val="en"/>
          </w:rPr>
          <w:delText>23</w:delText>
        </w:r>
      </w:del>
      <w:del w:id="92" w:author="ljm" w:date="2025-11-04T09:55:00Z">
        <w:r>
          <w:rPr>
            <w:rFonts w:eastAsia="仿宋_GB2312"/>
            <w:sz w:val="28"/>
            <w:szCs w:val="28"/>
          </w:rPr>
          <w:delText>日</w:delText>
        </w:r>
      </w:del>
      <w:del w:id="93" w:author="ljm" w:date="2025-11-04T09:55:00Z">
        <w:r>
          <w:rPr>
            <w:rFonts w:hint="eastAsia" w:ascii="仿宋_GB2312" w:eastAsia="仿宋_GB2312"/>
            <w:sz w:val="28"/>
            <w:szCs w:val="28"/>
          </w:rPr>
          <w:delText>印发　</w:delText>
        </w:r>
      </w:del>
    </w:p>
    <w:p>
      <w:pPr>
        <w:pStyle w:val="2"/>
        <w:spacing w:line="20" w:lineRule="exact"/>
        <w:jc w:val="left"/>
      </w:pPr>
    </w:p>
    <w:sectPr>
      <w:footerReference r:id="rId3" w:type="default"/>
      <w:footerReference r:id="rId4" w:type="even"/>
      <w:pgSz w:w="11906" w:h="16838"/>
      <w:pgMar w:top="2098" w:right="1474" w:bottom="1985" w:left="1588" w:header="851" w:footer="1077" w:gutter="0"/>
      <w:pgNumType w:fmt="numberInDash" w:start="1"/>
      <w:cols w:space="720" w:num="1"/>
      <w:docGrid w:type="linesAndChars" w:linePitch="579" w:charSpace="-363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黑体"/>
    <w:panose1 w:val="02010601030101010101"/>
    <w:charset w:val="86"/>
    <w:family w:val="auto"/>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华文宋体">
    <w:altName w:val="宋体"/>
    <w:panose1 w:val="02010600040101010101"/>
    <w:charset w:val="86"/>
    <w:family w:val="auto"/>
    <w:pitch w:val="default"/>
    <w:sig w:usb0="00000000" w:usb1="00000000" w:usb2="00000010" w:usb3="00000000" w:csb0="0004009F" w:csb1="00000000"/>
  </w:font>
  <w:font w:name="Nimbus Roman No9 L">
    <w:altName w:val="Times New Roman"/>
    <w:panose1 w:val="00000000000000000000"/>
    <w:charset w:val="00"/>
    <w:family w:val="auto"/>
    <w:pitch w:val="default"/>
    <w:sig w:usb0="00000000" w:usb1="00000000" w:usb2="00000000" w:usb3="00000000" w:csb0="00000000" w:csb1="00000000"/>
  </w:font>
  <w:font w:name="汉仪方隶简">
    <w:altName w:val="宋体"/>
    <w:panose1 w:val="00000000000000000000"/>
    <w:charset w:val="00"/>
    <w:family w:val="auto"/>
    <w:pitch w:val="default"/>
    <w:sig w:usb0="00000000" w:usb1="00000000" w:usb2="00000000" w:usb3="00000000" w:csb0="00040001" w:csb1="00000000"/>
  </w:font>
  <w:font w:name="汉仪细圆B5">
    <w:altName w:val="仿宋"/>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280"/>
      <w:jc w:val="right"/>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1 -</w:t>
    </w:r>
    <w:r>
      <w:rPr>
        <w:rFonts w:ascii="宋体" w:hAnsi="宋体"/>
        <w:sz w:val="28"/>
        <w:szCs w:val="28"/>
      </w:rPr>
      <w:fldChar w:fldCharType="end"/>
    </w:r>
  </w:p>
  <w:p>
    <w:pPr>
      <w:pStyle w:val="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280" w:firstLineChars="100"/>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2 -</w:t>
    </w:r>
    <w:r>
      <w:rPr>
        <w:rFonts w:ascii="宋体" w:hAnsi="宋体"/>
        <w:sz w:val="28"/>
        <w:szCs w:val="28"/>
      </w:rPr>
      <w:fldChar w:fldCharType="end"/>
    </w:r>
  </w:p>
  <w:p>
    <w:pPr>
      <w:pStyle w:val="6"/>
      <w:ind w:right="360"/>
    </w:pP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ljm">
    <w15:presenceInfo w15:providerId="None" w15:userId="ljm"/>
  </w15:person>
  <w15:person w15:author=" Chloe堂姐">
    <w15:presenceInfo w15:providerId="WPS Office" w15:userId="383434985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val="1"/>
  <w:documentProtection w:enforcement="0"/>
  <w:defaultTabStop w:val="420"/>
  <w:evenAndOddHeaders w:val="1"/>
  <w:drawingGridHorizontalSpacing w:val="96"/>
  <w:drawingGridVerticalSpacing w:val="579"/>
  <w:displayHorizontalDrawingGridEvery w:val="0"/>
  <w:characterSpacingControl w:val="compressPunctuation"/>
  <w:compat>
    <w:spaceForUL/>
    <w:balanceSingleByteDoubleByteWidth/>
    <w:doNotLeaveBackslashAlone/>
    <w:ulTrailSpace/>
    <w:doNotExpandShiftReturn/>
    <w:adjustLineHeightInTable/>
    <w:doNotBreakWrappedTab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gwMzk0YTNmOTEwYzJjM2U3NzNmMTczYWNhOTU0MmYifQ=="/>
  </w:docVars>
  <w:rsids>
    <w:rsidRoot w:val="001F581A"/>
    <w:rsid w:val="00002F68"/>
    <w:rsid w:val="000108DD"/>
    <w:rsid w:val="000144F3"/>
    <w:rsid w:val="00020C56"/>
    <w:rsid w:val="00033803"/>
    <w:rsid w:val="00046F69"/>
    <w:rsid w:val="00047EED"/>
    <w:rsid w:val="00056CC5"/>
    <w:rsid w:val="00057AEB"/>
    <w:rsid w:val="00072218"/>
    <w:rsid w:val="00083430"/>
    <w:rsid w:val="00083F8C"/>
    <w:rsid w:val="000A0ABC"/>
    <w:rsid w:val="000A4124"/>
    <w:rsid w:val="000B54C1"/>
    <w:rsid w:val="000B5FF0"/>
    <w:rsid w:val="000B6363"/>
    <w:rsid w:val="000B6B4C"/>
    <w:rsid w:val="000D3295"/>
    <w:rsid w:val="000D5F7A"/>
    <w:rsid w:val="00100C4E"/>
    <w:rsid w:val="001032D1"/>
    <w:rsid w:val="00107027"/>
    <w:rsid w:val="00152445"/>
    <w:rsid w:val="00163844"/>
    <w:rsid w:val="00166523"/>
    <w:rsid w:val="001A2DE2"/>
    <w:rsid w:val="001C0711"/>
    <w:rsid w:val="001D4F6B"/>
    <w:rsid w:val="001F2039"/>
    <w:rsid w:val="001F2E84"/>
    <w:rsid w:val="001F4533"/>
    <w:rsid w:val="001F581A"/>
    <w:rsid w:val="001F7967"/>
    <w:rsid w:val="00203F4A"/>
    <w:rsid w:val="00212C15"/>
    <w:rsid w:val="002305B4"/>
    <w:rsid w:val="00236910"/>
    <w:rsid w:val="00240AAF"/>
    <w:rsid w:val="002423F8"/>
    <w:rsid w:val="00260207"/>
    <w:rsid w:val="00266704"/>
    <w:rsid w:val="002709F3"/>
    <w:rsid w:val="00284EA7"/>
    <w:rsid w:val="00293EC0"/>
    <w:rsid w:val="002A212D"/>
    <w:rsid w:val="002A7BE3"/>
    <w:rsid w:val="002B63CF"/>
    <w:rsid w:val="002C284E"/>
    <w:rsid w:val="002C4980"/>
    <w:rsid w:val="002E404E"/>
    <w:rsid w:val="002E473F"/>
    <w:rsid w:val="002E7C55"/>
    <w:rsid w:val="002E7F7D"/>
    <w:rsid w:val="002F1C3F"/>
    <w:rsid w:val="002F5E29"/>
    <w:rsid w:val="00302117"/>
    <w:rsid w:val="00307012"/>
    <w:rsid w:val="00344FFC"/>
    <w:rsid w:val="003564B8"/>
    <w:rsid w:val="0036324B"/>
    <w:rsid w:val="00387230"/>
    <w:rsid w:val="0039089F"/>
    <w:rsid w:val="0039400E"/>
    <w:rsid w:val="003A0AC9"/>
    <w:rsid w:val="003A3DA5"/>
    <w:rsid w:val="003B29D8"/>
    <w:rsid w:val="003B38AB"/>
    <w:rsid w:val="003B3968"/>
    <w:rsid w:val="003E737B"/>
    <w:rsid w:val="003F3155"/>
    <w:rsid w:val="00406175"/>
    <w:rsid w:val="00411811"/>
    <w:rsid w:val="00421FC7"/>
    <w:rsid w:val="004226FF"/>
    <w:rsid w:val="004405C3"/>
    <w:rsid w:val="00442A6F"/>
    <w:rsid w:val="004440A5"/>
    <w:rsid w:val="0044535C"/>
    <w:rsid w:val="004457B5"/>
    <w:rsid w:val="0045180F"/>
    <w:rsid w:val="00454417"/>
    <w:rsid w:val="004544E1"/>
    <w:rsid w:val="004655FB"/>
    <w:rsid w:val="004A07BE"/>
    <w:rsid w:val="004A2739"/>
    <w:rsid w:val="004A4E51"/>
    <w:rsid w:val="004B0A1A"/>
    <w:rsid w:val="004B5B63"/>
    <w:rsid w:val="004B5CEB"/>
    <w:rsid w:val="004B6ABC"/>
    <w:rsid w:val="004C289E"/>
    <w:rsid w:val="004C3631"/>
    <w:rsid w:val="004C4FFE"/>
    <w:rsid w:val="004D26C0"/>
    <w:rsid w:val="004F3D93"/>
    <w:rsid w:val="00506EAE"/>
    <w:rsid w:val="0055024E"/>
    <w:rsid w:val="0055385C"/>
    <w:rsid w:val="00553E11"/>
    <w:rsid w:val="00557316"/>
    <w:rsid w:val="00560A51"/>
    <w:rsid w:val="00561059"/>
    <w:rsid w:val="00573894"/>
    <w:rsid w:val="0057569C"/>
    <w:rsid w:val="005762AD"/>
    <w:rsid w:val="00584B0F"/>
    <w:rsid w:val="005860B8"/>
    <w:rsid w:val="005C06AF"/>
    <w:rsid w:val="005E38E6"/>
    <w:rsid w:val="005E6A9B"/>
    <w:rsid w:val="005F0582"/>
    <w:rsid w:val="005F0A0C"/>
    <w:rsid w:val="005F6DF5"/>
    <w:rsid w:val="0060402D"/>
    <w:rsid w:val="00606809"/>
    <w:rsid w:val="00607A73"/>
    <w:rsid w:val="006174A7"/>
    <w:rsid w:val="006222EE"/>
    <w:rsid w:val="006225AD"/>
    <w:rsid w:val="0064073B"/>
    <w:rsid w:val="006439FE"/>
    <w:rsid w:val="00646DF0"/>
    <w:rsid w:val="00651824"/>
    <w:rsid w:val="00653696"/>
    <w:rsid w:val="00663A31"/>
    <w:rsid w:val="00664E24"/>
    <w:rsid w:val="0067276C"/>
    <w:rsid w:val="00677C1D"/>
    <w:rsid w:val="00677D79"/>
    <w:rsid w:val="006838F7"/>
    <w:rsid w:val="00686AE7"/>
    <w:rsid w:val="006871A3"/>
    <w:rsid w:val="00691700"/>
    <w:rsid w:val="006A05AB"/>
    <w:rsid w:val="006A2A00"/>
    <w:rsid w:val="006D62F0"/>
    <w:rsid w:val="006E5C7B"/>
    <w:rsid w:val="006F4EB6"/>
    <w:rsid w:val="00701D78"/>
    <w:rsid w:val="00711092"/>
    <w:rsid w:val="007177BD"/>
    <w:rsid w:val="00733C03"/>
    <w:rsid w:val="00734B13"/>
    <w:rsid w:val="00736EB7"/>
    <w:rsid w:val="00751B1B"/>
    <w:rsid w:val="00754CAD"/>
    <w:rsid w:val="00756732"/>
    <w:rsid w:val="007615B2"/>
    <w:rsid w:val="007640B0"/>
    <w:rsid w:val="00780B93"/>
    <w:rsid w:val="007816D4"/>
    <w:rsid w:val="007A7D56"/>
    <w:rsid w:val="007B2D83"/>
    <w:rsid w:val="007D4FC6"/>
    <w:rsid w:val="007E0ACD"/>
    <w:rsid w:val="008003A1"/>
    <w:rsid w:val="00803B03"/>
    <w:rsid w:val="0080438F"/>
    <w:rsid w:val="0081210F"/>
    <w:rsid w:val="00830F62"/>
    <w:rsid w:val="0083146E"/>
    <w:rsid w:val="00844869"/>
    <w:rsid w:val="008512B8"/>
    <w:rsid w:val="00852CDE"/>
    <w:rsid w:val="00855652"/>
    <w:rsid w:val="00861F8F"/>
    <w:rsid w:val="0088379F"/>
    <w:rsid w:val="00887228"/>
    <w:rsid w:val="00894A0F"/>
    <w:rsid w:val="008B44FB"/>
    <w:rsid w:val="008C1364"/>
    <w:rsid w:val="008C6F81"/>
    <w:rsid w:val="008D303B"/>
    <w:rsid w:val="008E078B"/>
    <w:rsid w:val="008F5590"/>
    <w:rsid w:val="009210E4"/>
    <w:rsid w:val="00924233"/>
    <w:rsid w:val="00925F01"/>
    <w:rsid w:val="00934CBC"/>
    <w:rsid w:val="00943BFA"/>
    <w:rsid w:val="0095431A"/>
    <w:rsid w:val="00957FEC"/>
    <w:rsid w:val="009634C8"/>
    <w:rsid w:val="0097001A"/>
    <w:rsid w:val="0097316F"/>
    <w:rsid w:val="009745EA"/>
    <w:rsid w:val="00974A79"/>
    <w:rsid w:val="0098720A"/>
    <w:rsid w:val="00987666"/>
    <w:rsid w:val="00996125"/>
    <w:rsid w:val="009B117D"/>
    <w:rsid w:val="009B265E"/>
    <w:rsid w:val="009B273F"/>
    <w:rsid w:val="009B62F6"/>
    <w:rsid w:val="009C28DB"/>
    <w:rsid w:val="009F3FA1"/>
    <w:rsid w:val="009F7282"/>
    <w:rsid w:val="00A24651"/>
    <w:rsid w:val="00A271FD"/>
    <w:rsid w:val="00A324DD"/>
    <w:rsid w:val="00A441EB"/>
    <w:rsid w:val="00A456D6"/>
    <w:rsid w:val="00A461E7"/>
    <w:rsid w:val="00A51E02"/>
    <w:rsid w:val="00A55425"/>
    <w:rsid w:val="00A640FE"/>
    <w:rsid w:val="00A721F3"/>
    <w:rsid w:val="00A72D3A"/>
    <w:rsid w:val="00AA4669"/>
    <w:rsid w:val="00AA5A4E"/>
    <w:rsid w:val="00AB067D"/>
    <w:rsid w:val="00AC06C1"/>
    <w:rsid w:val="00AC7B35"/>
    <w:rsid w:val="00AD4BE8"/>
    <w:rsid w:val="00AE4E9E"/>
    <w:rsid w:val="00B03350"/>
    <w:rsid w:val="00B04A5D"/>
    <w:rsid w:val="00B063DE"/>
    <w:rsid w:val="00B13A78"/>
    <w:rsid w:val="00B2774B"/>
    <w:rsid w:val="00B4057A"/>
    <w:rsid w:val="00B435AA"/>
    <w:rsid w:val="00B50BC0"/>
    <w:rsid w:val="00B755E8"/>
    <w:rsid w:val="00B87CD9"/>
    <w:rsid w:val="00B905BD"/>
    <w:rsid w:val="00B92693"/>
    <w:rsid w:val="00B957BC"/>
    <w:rsid w:val="00BA30C6"/>
    <w:rsid w:val="00BC6989"/>
    <w:rsid w:val="00BD18D1"/>
    <w:rsid w:val="00BE1878"/>
    <w:rsid w:val="00BE49A2"/>
    <w:rsid w:val="00C07644"/>
    <w:rsid w:val="00C11C8F"/>
    <w:rsid w:val="00C359AB"/>
    <w:rsid w:val="00C67352"/>
    <w:rsid w:val="00C759DC"/>
    <w:rsid w:val="00C95D69"/>
    <w:rsid w:val="00CA1F4C"/>
    <w:rsid w:val="00CA21F7"/>
    <w:rsid w:val="00CA3007"/>
    <w:rsid w:val="00CA3D61"/>
    <w:rsid w:val="00CC78A6"/>
    <w:rsid w:val="00CE12DB"/>
    <w:rsid w:val="00CE4F91"/>
    <w:rsid w:val="00CE7C32"/>
    <w:rsid w:val="00D02E91"/>
    <w:rsid w:val="00D16175"/>
    <w:rsid w:val="00D5337E"/>
    <w:rsid w:val="00D61775"/>
    <w:rsid w:val="00D8047C"/>
    <w:rsid w:val="00D9366D"/>
    <w:rsid w:val="00DA21F7"/>
    <w:rsid w:val="00DB345F"/>
    <w:rsid w:val="00DB6AD6"/>
    <w:rsid w:val="00DC005F"/>
    <w:rsid w:val="00DE39EC"/>
    <w:rsid w:val="00DE75AF"/>
    <w:rsid w:val="00E1729F"/>
    <w:rsid w:val="00E266FF"/>
    <w:rsid w:val="00E34793"/>
    <w:rsid w:val="00E55524"/>
    <w:rsid w:val="00E5598D"/>
    <w:rsid w:val="00E6116D"/>
    <w:rsid w:val="00E63ACA"/>
    <w:rsid w:val="00E6431C"/>
    <w:rsid w:val="00E6475D"/>
    <w:rsid w:val="00E65710"/>
    <w:rsid w:val="00E7395C"/>
    <w:rsid w:val="00E822E8"/>
    <w:rsid w:val="00E85DD6"/>
    <w:rsid w:val="00E94D61"/>
    <w:rsid w:val="00EA487E"/>
    <w:rsid w:val="00EB2C93"/>
    <w:rsid w:val="00EE40D5"/>
    <w:rsid w:val="00EE6236"/>
    <w:rsid w:val="00EF7F01"/>
    <w:rsid w:val="00F029BA"/>
    <w:rsid w:val="00F053BE"/>
    <w:rsid w:val="00F1314D"/>
    <w:rsid w:val="00F20482"/>
    <w:rsid w:val="00F207A1"/>
    <w:rsid w:val="00F21126"/>
    <w:rsid w:val="00F33D68"/>
    <w:rsid w:val="00F5206D"/>
    <w:rsid w:val="00F86262"/>
    <w:rsid w:val="00F97090"/>
    <w:rsid w:val="00FB54A6"/>
    <w:rsid w:val="00FB7289"/>
    <w:rsid w:val="00FC3C6A"/>
    <w:rsid w:val="00FD1646"/>
    <w:rsid w:val="00FD217E"/>
    <w:rsid w:val="00FD287E"/>
    <w:rsid w:val="00FD69BA"/>
    <w:rsid w:val="00FF15CC"/>
    <w:rsid w:val="2CFFFD0A"/>
    <w:rsid w:val="38B93499"/>
    <w:rsid w:val="3EFD2D0D"/>
    <w:rsid w:val="55BE2DD9"/>
    <w:rsid w:val="5F7F56D2"/>
    <w:rsid w:val="67BFC4F3"/>
    <w:rsid w:val="6EFF248E"/>
    <w:rsid w:val="73FFEAA9"/>
    <w:rsid w:val="77A7ACE9"/>
    <w:rsid w:val="77DF4774"/>
    <w:rsid w:val="7F64E73B"/>
    <w:rsid w:val="ABFC1914"/>
    <w:rsid w:val="BFBF22E0"/>
    <w:rsid w:val="BFFFDA2A"/>
    <w:rsid w:val="CEF96568"/>
    <w:rsid w:val="CFAD609B"/>
    <w:rsid w:val="DDFDF6DB"/>
    <w:rsid w:val="EEE70203"/>
    <w:rsid w:val="F4A9512F"/>
    <w:rsid w:val="F75ADE12"/>
    <w:rsid w:val="FB7E08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weight="1.5pt"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Body Text"/>
    <w:basedOn w:val="1"/>
    <w:next w:val="1"/>
    <w:qFormat/>
    <w:uiPriority w:val="0"/>
    <w:pPr>
      <w:spacing w:line="500" w:lineRule="exact"/>
      <w:jc w:val="center"/>
    </w:pPr>
    <w:rPr>
      <w:rFonts w:eastAsia="黑体"/>
      <w:sz w:val="32"/>
    </w:rPr>
  </w:style>
  <w:style w:type="paragraph" w:styleId="3">
    <w:name w:val="Body Text Indent"/>
    <w:basedOn w:val="1"/>
    <w:qFormat/>
    <w:uiPriority w:val="0"/>
    <w:pPr>
      <w:ind w:firstLine="720" w:firstLineChars="225"/>
    </w:pPr>
    <w:rPr>
      <w:sz w:val="32"/>
      <w:szCs w:val="20"/>
    </w:rPr>
  </w:style>
  <w:style w:type="paragraph" w:styleId="4">
    <w:name w:val="Date"/>
    <w:basedOn w:val="1"/>
    <w:next w:val="1"/>
    <w:qFormat/>
    <w:uiPriority w:val="0"/>
    <w:pPr>
      <w:ind w:left="100" w:leftChars="2500"/>
    </w:pPr>
    <w:rPr>
      <w:rFonts w:ascii="仿宋_GB2312" w:eastAsia="仿宋_GB2312"/>
      <w:sz w:val="32"/>
    </w:rPr>
  </w:style>
  <w:style w:type="paragraph" w:styleId="5">
    <w:name w:val="Balloon Text"/>
    <w:basedOn w:val="1"/>
    <w:semiHidden/>
    <w:qFormat/>
    <w:uiPriority w:val="0"/>
    <w:rPr>
      <w:sz w:val="18"/>
      <w:szCs w:val="18"/>
    </w:rPr>
  </w:style>
  <w:style w:type="paragraph" w:styleId="6">
    <w:name w:val="footer"/>
    <w:basedOn w:val="1"/>
    <w:link w:val="12"/>
    <w:qFormat/>
    <w:uiPriority w:val="99"/>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qFormat/>
    <w:uiPriority w:val="0"/>
  </w:style>
  <w:style w:type="character" w:customStyle="1" w:styleId="12">
    <w:name w:val="页脚 Char"/>
    <w:link w:val="6"/>
    <w:qFormat/>
    <w:uiPriority w:val="99"/>
    <w:rPr>
      <w:kern w:val="2"/>
      <w:sz w:val="18"/>
      <w:szCs w:val="18"/>
    </w:rPr>
  </w:style>
  <w:style w:type="character" w:customStyle="1" w:styleId="13">
    <w:name w:val="Hei Ti"/>
    <w:qFormat/>
    <w:uiPriority w:val="0"/>
    <w:rPr>
      <w:rFonts w:ascii="黑体" w:hAnsi="黑体" w:eastAsia="黑体" w:cs="黑体"/>
      <w:sz w:val="32"/>
    </w:rPr>
  </w:style>
  <w:style w:type="character" w:customStyle="1" w:styleId="14">
    <w:name w:val="Hei Ti Bold"/>
    <w:qFormat/>
    <w:uiPriority w:val="0"/>
    <w:rPr>
      <w:rFonts w:ascii="黑体" w:hAnsi="黑体" w:eastAsia="黑体" w:cs="黑体"/>
      <w:b/>
      <w:sz w:val="32"/>
    </w:rPr>
  </w:style>
  <w:style w:type="character" w:customStyle="1" w:styleId="15">
    <w:name w:val="Hei Ti Bold1"/>
    <w:qFormat/>
    <w:uiPriority w:val="0"/>
    <w:rPr>
      <w:rFonts w:ascii="黑体" w:hAnsi="黑体" w:eastAsia="黑体" w:cs="黑体"/>
      <w:b/>
      <w:sz w:val="36"/>
    </w:rPr>
  </w:style>
  <w:style w:type="character" w:customStyle="1" w:styleId="16">
    <w:name w:val="GB_2312"/>
    <w:qFormat/>
    <w:uiPriority w:val="0"/>
    <w:rPr>
      <w:rFonts w:ascii="仿宋_GB2312" w:hAnsi="仿宋_GB2312" w:eastAsia="仿宋_GB2312" w:cs="仿宋_GB2312"/>
      <w:sz w:val="32"/>
    </w:rPr>
  </w:style>
  <w:style w:type="character" w:customStyle="1" w:styleId="17">
    <w:name w:val="GB_23121"/>
    <w:qFormat/>
    <w:uiPriority w:val="0"/>
    <w:rPr>
      <w:rFonts w:ascii="仿宋_GB2312" w:hAnsi="仿宋_GB2312" w:eastAsia="仿宋_GB2312" w:cs="仿宋_GB2312"/>
      <w:sz w:val="36"/>
    </w:rPr>
  </w:style>
  <w:style w:type="character" w:customStyle="1" w:styleId="18">
    <w:name w:val="Red_Color"/>
    <w:qFormat/>
    <w:uiPriority w:val="0"/>
    <w:rPr>
      <w:rFonts w:ascii="方正小标宋简体" w:hAnsi="方正小标宋简体" w:eastAsia="方正小标宋简体" w:cs="方正小标宋简体"/>
      <w:color w:val="000000"/>
      <w:sz w:val="65"/>
    </w:rPr>
  </w:style>
  <w:style w:type="character" w:customStyle="1" w:styleId="19">
    <w:name w:val="KaiTi"/>
    <w:qFormat/>
    <w:uiPriority w:val="0"/>
    <w:rPr>
      <w:rFonts w:ascii="楷体_GB2312" w:hAnsi="楷体_GB2312" w:eastAsia="楷体_GB2312" w:cs="楷体_GB2312"/>
      <w:sz w:val="32"/>
    </w:rPr>
  </w:style>
  <w:style w:type="character" w:customStyle="1" w:styleId="20">
    <w:name w:val="Fz_Xbs"/>
    <w:qFormat/>
    <w:uiPriority w:val="0"/>
    <w:rPr>
      <w:rFonts w:ascii="方正小标宋简体" w:hAnsi="方正小标宋简体" w:eastAsia="方正小标宋简体" w:cs="方正小标宋简体"/>
      <w:sz w:val="44"/>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tjec</Company>
  <Pages>15</Pages>
  <Words>6713</Words>
  <Characters>474</Characters>
  <Lines>3</Lines>
  <Paragraphs>14</Paragraphs>
  <TotalTime>2</TotalTime>
  <ScaleCrop>false</ScaleCrop>
  <LinksUpToDate>false</LinksUpToDate>
  <CharactersWithSpaces>7173</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2025-10-24T03:08:00Z</dcterms:created>
  <dc:creator>办公室</dc:creator>
  <cp:lastModifiedBy> Chloe堂姐</cp:lastModifiedBy>
  <cp:lastPrinted>2025-09-20T08:54:00Z</cp:lastPrinted>
  <dcterms:modified xsi:type="dcterms:W3CDTF">2025-11-04T02:31:52Z</dcterms:modified>
  <dc:title>津经[2003]号</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D0D90B521F934CAEAE8AEFC03FE0E545_12</vt:lpwstr>
  </property>
</Properties>
</file>