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both"/>
        <w:rPr>
          <w:rFonts w:eastAsia="仿宋_GB2312"/>
          <w:szCs w:val="32"/>
        </w:rPr>
      </w:pPr>
    </w:p>
    <w:p>
      <w:pPr>
        <w:pStyle w:val="2"/>
        <w:snapToGrid w:val="0"/>
        <w:jc w:val="center"/>
        <w:rPr>
          <w:rStyle w:val="10"/>
          <w:rFonts w:hint="eastAsia" w:ascii="方正小标宋简体" w:hAnsi="方正小标宋_GBK" w:eastAsia="方正小标宋简体" w:cs="方正小标宋_GBK"/>
          <w:color w:val="auto"/>
          <w:sz w:val="44"/>
          <w:szCs w:val="44"/>
          <w:u w:val="none"/>
        </w:rPr>
      </w:pPr>
      <w:r>
        <w:rPr>
          <w:rStyle w:val="10"/>
          <w:rFonts w:hint="eastAsia" w:ascii="方正小标宋简体" w:hAnsi="方正小标宋_GBK" w:eastAsia="方正小标宋简体" w:cs="方正小标宋_GBK"/>
          <w:color w:val="auto"/>
          <w:sz w:val="44"/>
          <w:szCs w:val="44"/>
          <w:u w:val="none"/>
        </w:rPr>
        <w:t>天津市人民政府办公厅关于调整完善</w:t>
      </w:r>
    </w:p>
    <w:p>
      <w:pPr>
        <w:pStyle w:val="2"/>
        <w:snapToGrid w:val="0"/>
        <w:jc w:val="center"/>
        <w:rPr>
          <w:rStyle w:val="10"/>
          <w:rFonts w:ascii="方正小标宋_GBK" w:hAnsi="方正小标宋_GBK" w:eastAsia="方正小标宋_GBK" w:cs="方正小标宋_GBK"/>
          <w:color w:val="auto"/>
          <w:sz w:val="44"/>
          <w:szCs w:val="44"/>
          <w:u w:val="none"/>
        </w:rPr>
      </w:pPr>
      <w:r>
        <w:rPr>
          <w:rStyle w:val="10"/>
          <w:rFonts w:hint="eastAsia" w:ascii="方正小标宋简体" w:hAnsi="方正小标宋_GBK" w:eastAsia="方正小标宋简体" w:cs="方正小标宋_GBK"/>
          <w:color w:val="auto"/>
          <w:sz w:val="44"/>
          <w:szCs w:val="44"/>
          <w:u w:val="none"/>
        </w:rPr>
        <w:t>天津市海河产业基金管理规定有关事项的通知</w:t>
      </w:r>
    </w:p>
    <w:p>
      <w:pPr>
        <w:pStyle w:val="2"/>
        <w:rPr>
          <w:rFonts w:ascii="仿宋_GB2312" w:hAnsi="仿宋_GB2312" w:eastAsia="仿宋_GB2312" w:cs="仿宋_GB2312"/>
          <w:szCs w:val="32"/>
        </w:rPr>
      </w:pPr>
    </w:p>
    <w:p>
      <w:pPr>
        <w:pStyle w:val="2"/>
        <w:rPr>
          <w:rFonts w:ascii="仿宋_GB2312" w:eastAsia="仿宋_GB2312"/>
        </w:rPr>
      </w:pPr>
      <w:r>
        <w:rPr>
          <w:rFonts w:hint="eastAsia" w:ascii="仿宋_GB2312" w:eastAsia="仿宋_GB2312"/>
        </w:rPr>
        <w:t>各区人民政府，市政府各委、办、局：</w:t>
      </w:r>
    </w:p>
    <w:p>
      <w:pPr>
        <w:pStyle w:val="2"/>
        <w:ind w:firstLine="612" w:firstLineChars="196"/>
        <w:rPr>
          <w:rFonts w:eastAsia="仿宋_GB2312"/>
        </w:rPr>
      </w:pPr>
      <w:r>
        <w:rPr>
          <w:rFonts w:eastAsia="仿宋_GB2312"/>
        </w:rPr>
        <w:t>为持续释放天津市海河产业基金活力，增强产业引导的政策吸引力，进一步提高基金运作效率，经市人民政府同意，现就调整完善天津市海河产业基金管理规定有关事项通知如下：</w:t>
      </w:r>
    </w:p>
    <w:p>
      <w:pPr>
        <w:pStyle w:val="2"/>
        <w:ind w:firstLine="612" w:firstLineChars="196"/>
        <w:rPr>
          <w:rFonts w:eastAsia="仿宋_GB2312"/>
        </w:rPr>
      </w:pPr>
      <w:r>
        <w:rPr>
          <w:rFonts w:eastAsia="仿宋_GB2312"/>
        </w:rPr>
        <w:t>一、母基金撬动的各类社会资本在天津的投资总额，应累计不低于引导基金出资规模的1.2倍。</w:t>
      </w:r>
    </w:p>
    <w:p>
      <w:pPr>
        <w:pStyle w:val="2"/>
        <w:ind w:firstLine="612" w:firstLineChars="196"/>
        <w:rPr>
          <w:rFonts w:eastAsia="仿宋_GB2312"/>
        </w:rPr>
      </w:pPr>
      <w:r>
        <w:rPr>
          <w:rFonts w:eastAsia="仿宋_GB2312"/>
        </w:rPr>
        <w:t>二、对国家级基金、中央企业和中央金融管理部门有特殊要求的母基金、子基金，以及参与出资在外省市设立的优质母基金、子基金，基金名称及基金、基金管理机构、普通合伙人的注册地不作要求。</w:t>
      </w:r>
    </w:p>
    <w:p>
      <w:pPr>
        <w:pStyle w:val="2"/>
        <w:ind w:firstLine="612" w:firstLineChars="196"/>
        <w:rPr>
          <w:rFonts w:eastAsia="仿宋_GB2312"/>
        </w:rPr>
      </w:pPr>
      <w:r>
        <w:rPr>
          <w:rFonts w:eastAsia="仿宋_GB2312"/>
        </w:rPr>
        <w:t>三、鼓励经营管理团队对其主导的具体投资进行跟投。对于无法实现经营管理团队跟投的，基金管理机构应通过绩效考核、奖惩措施等，实现经营管理团队与基金损益绑定。</w:t>
      </w:r>
    </w:p>
    <w:p>
      <w:pPr>
        <w:pStyle w:val="2"/>
        <w:ind w:firstLine="612" w:firstLineChars="196"/>
        <w:rPr>
          <w:rFonts w:eastAsia="仿宋_GB2312"/>
        </w:rPr>
      </w:pPr>
      <w:r>
        <w:rPr>
          <w:rFonts w:eastAsia="仿宋_GB2312"/>
        </w:rPr>
        <w:t>四、子基金原则上以直接投资项目方式进行投资，控制基金层级，防止多层嵌套影响政策目标实现。以设立单一项目基金进行投资的除外。</w:t>
      </w:r>
    </w:p>
    <w:p>
      <w:pPr>
        <w:pStyle w:val="2"/>
        <w:ind w:firstLine="612" w:firstLineChars="196"/>
        <w:rPr>
          <w:rFonts w:eastAsia="仿宋_GB2312"/>
        </w:rPr>
      </w:pPr>
      <w:r>
        <w:rPr>
          <w:rFonts w:eastAsia="仿宋_GB2312"/>
        </w:rPr>
        <w:t>五、引导基金对并购母基金出资比例最高可达50%，对券商类并购母基金出资比例最高可达70%，引导带动社会资本参与标的项目投资，使引导基金在项目端出资比例不超过50%。母基金对单个企业的投资额不得超过基金资产总值的20%，对以并购重组为目的的母基金除外。</w:t>
      </w:r>
    </w:p>
    <w:p>
      <w:pPr>
        <w:pStyle w:val="2"/>
        <w:ind w:firstLine="612" w:firstLineChars="196"/>
        <w:rPr>
          <w:rFonts w:eastAsia="仿宋_GB2312"/>
        </w:rPr>
      </w:pPr>
      <w:r>
        <w:rPr>
          <w:rFonts w:eastAsia="仿宋_GB2312"/>
        </w:rPr>
        <w:t>六、引导基金按照章程（协议）约定从母基金中分配、清算所获得的资金，应及时缴入引导基金托管账户，可用于基金滚动发展，其中对于归属政府的投资收益和利息等，除明确约定继续用于基金滚动使用外，应按照财政国库管理制度有关规定及时足额上缴国库。具体流程由市财政局制定，报天津市海河产业基金</w:t>
      </w:r>
      <w:r>
        <w:rPr>
          <w:rFonts w:hint="eastAsia" w:eastAsia="仿宋_GB2312"/>
        </w:rPr>
        <w:t>管理委员会</w:t>
      </w:r>
      <w:r>
        <w:rPr>
          <w:rFonts w:eastAsia="仿宋_GB2312"/>
        </w:rPr>
        <w:t>备案。引导基金分红部分可安排一定比例的资金，用于对考核优秀的母基金管理机构给予奖励。</w:t>
      </w:r>
    </w:p>
    <w:p>
      <w:pPr>
        <w:pStyle w:val="2"/>
        <w:ind w:firstLine="612" w:firstLineChars="196"/>
        <w:rPr>
          <w:rFonts w:eastAsia="仿宋_GB2312"/>
        </w:rPr>
      </w:pPr>
      <w:r>
        <w:rPr>
          <w:rFonts w:eastAsia="仿宋_GB2312"/>
        </w:rPr>
        <w:t>七、引导基金存续期延长至2040年。</w:t>
      </w:r>
    </w:p>
    <w:p>
      <w:pPr>
        <w:pStyle w:val="2"/>
        <w:ind w:firstLine="612" w:firstLineChars="196"/>
        <w:rPr>
          <w:rFonts w:eastAsia="仿宋_GB2312"/>
          <w:szCs w:val="32"/>
        </w:rPr>
      </w:pPr>
      <w:r>
        <w:rPr>
          <w:rFonts w:eastAsia="仿宋_GB2312"/>
        </w:rPr>
        <w:t>《天津市人民政府办公厅关于印发天津市海河产业基金管理暂行办法和天津市海河产业基金政府出资管理暂行办法的通知》（津政办发〔2017〕86号）中有关规定与本通知不一致的，以本通知为准。</w:t>
      </w:r>
    </w:p>
    <w:p>
      <w:pPr>
        <w:pStyle w:val="2"/>
        <w:rPr>
          <w:rFonts w:eastAsia="仿宋_GB2312"/>
          <w:szCs w:val="32"/>
        </w:rPr>
      </w:pPr>
    </w:p>
    <w:p>
      <w:pPr>
        <w:pStyle w:val="2"/>
        <w:keepNext w:val="0"/>
        <w:keepLines w:val="0"/>
        <w:pageBreakBefore w:val="0"/>
        <w:widowControl w:val="0"/>
        <w:kinsoku/>
        <w:overflowPunct/>
        <w:topLinePunct w:val="0"/>
        <w:autoSpaceDE/>
        <w:autoSpaceDN/>
        <w:bidi w:val="0"/>
        <w:adjustRightInd/>
        <w:snapToGrid/>
        <w:spacing w:line="360" w:lineRule="auto"/>
        <w:jc w:val="center"/>
        <w:textAlignment w:val="auto"/>
        <w:rPr>
          <w:rFonts w:eastAsia="仿宋_GB2312"/>
          <w:szCs w:val="32"/>
        </w:rPr>
      </w:pPr>
      <w:r>
        <w:rPr>
          <w:rFonts w:hint="eastAsia" w:eastAsia="仿宋_GB2312"/>
          <w:szCs w:val="32"/>
          <w:lang w:val="en-US" w:eastAsia="zh-CN"/>
        </w:rPr>
        <w:t xml:space="preserve">                        </w:t>
      </w:r>
      <w:r>
        <w:rPr>
          <w:rFonts w:hint="eastAsia" w:ascii="Times New Roman" w:hAnsi="Times New Roman" w:eastAsia="仿宋_GB2312"/>
          <w:szCs w:val="32"/>
          <w:lang w:val="en-US" w:eastAsia="zh-CN"/>
        </w:rPr>
        <w:t>天津市人民政府办公厅</w:t>
      </w:r>
    </w:p>
    <w:p>
      <w:pPr>
        <w:pStyle w:val="2"/>
        <w:wordWrap w:val="0"/>
        <w:jc w:val="right"/>
        <w:rPr>
          <w:rFonts w:eastAsia="仿宋_GB2312"/>
          <w:szCs w:val="32"/>
        </w:rPr>
      </w:pPr>
      <w:r>
        <w:rPr>
          <w:rFonts w:hint="eastAsia" w:eastAsia="仿宋_GB2312"/>
          <w:szCs w:val="32"/>
        </w:rPr>
        <w:t xml:space="preserve">2025年5月23日        </w:t>
      </w:r>
    </w:p>
    <w:p>
      <w:pPr>
        <w:pStyle w:val="2"/>
        <w:rPr>
          <w:rFonts w:eastAsia="仿宋_GB2312"/>
          <w:szCs w:val="32"/>
        </w:rPr>
      </w:pPr>
      <w:r>
        <w:rPr>
          <w:rFonts w:hint="eastAsia" w:eastAsia="仿宋_GB2312"/>
          <w:szCs w:val="32"/>
        </w:rPr>
        <w:t xml:space="preserve">    （此件主动公开）</w:t>
      </w:r>
    </w:p>
    <w:p>
      <w:pPr>
        <w:pStyle w:val="2"/>
        <w:rPr>
          <w:rFonts w:eastAsia="仿宋_GB2312"/>
          <w:szCs w:val="32"/>
        </w:rPr>
      </w:pPr>
    </w:p>
    <w:p>
      <w:pPr>
        <w:pStyle w:val="2"/>
        <w:rPr>
          <w:rFonts w:eastAsia="仿宋_GB2312"/>
          <w:szCs w:val="32"/>
        </w:rPr>
      </w:pPr>
    </w:p>
    <w:p>
      <w:pPr>
        <w:pStyle w:val="2"/>
        <w:rPr>
          <w:rFonts w:eastAsia="仿宋_GB2312"/>
          <w:szCs w:val="32"/>
        </w:rPr>
      </w:pPr>
      <w:bookmarkStart w:id="0" w:name="_GoBack"/>
      <w:bookmarkEnd w:id="0"/>
    </w:p>
    <w:sectPr>
      <w:headerReference r:id="rId3" w:type="default"/>
      <w:footerReference r:id="rId4" w:type="default"/>
      <w:footerReference r:id="rId5" w:type="even"/>
      <w:pgSz w:w="11907" w:h="16840"/>
      <w:pgMar w:top="2098" w:right="1474" w:bottom="1985" w:left="1588" w:header="851" w:footer="1701" w:gutter="0"/>
      <w:cols w:space="720" w:num="1"/>
      <w:docGrid w:type="linesAndChars" w:linePitch="289" w:charSpace="-18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文星仿宋">
    <w:altName w:val="仿宋"/>
    <w:panose1 w:val="00000000000000000000"/>
    <w:charset w:val="00"/>
    <w:family w:val="auto"/>
    <w:pitch w:val="default"/>
    <w:sig w:usb0="00000000" w:usb1="00000000" w:usb2="00000010"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2010601030101010101"/>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ind w:left="420" w:leftChars="200" w:right="420" w:rightChars="200"/>
      <w:jc w:val="center"/>
      <w:rPr>
        <w:rStyle w:val="9"/>
        <w:sz w:val="28"/>
      </w:rPr>
    </w:pPr>
    <w:r>
      <w:rPr>
        <w:rStyle w:val="9"/>
        <w:rFonts w:hint="eastAsia"/>
        <w:sz w:val="28"/>
      </w:rPr>
      <w:t>—</w:t>
    </w:r>
    <w:r>
      <w:rPr>
        <w:rStyle w:val="9"/>
        <w:sz w:val="28"/>
      </w:rPr>
      <w:t xml:space="preserve"> </w:t>
    </w:r>
    <w:r>
      <w:rPr>
        <w:sz w:val="28"/>
      </w:rPr>
      <w:fldChar w:fldCharType="begin"/>
    </w:r>
    <w:r>
      <w:rPr>
        <w:rStyle w:val="9"/>
        <w:sz w:val="28"/>
      </w:rPr>
      <w:instrText xml:space="preserve">PAGE  </w:instrText>
    </w:r>
    <w:r>
      <w:rPr>
        <w:sz w:val="28"/>
      </w:rPr>
      <w:fldChar w:fldCharType="separate"/>
    </w:r>
    <w:r>
      <w:rPr>
        <w:rStyle w:val="9"/>
        <w:sz w:val="28"/>
      </w:rPr>
      <w:t>4</w:t>
    </w:r>
    <w:r>
      <w:rPr>
        <w:sz w:val="28"/>
      </w:rPr>
      <w:fldChar w:fldCharType="end"/>
    </w:r>
    <w:r>
      <w:rPr>
        <w:rStyle w:val="9"/>
        <w:sz w:val="28"/>
      </w:rPr>
      <w:t xml:space="preserve"> </w:t>
    </w:r>
    <w:r>
      <w:rPr>
        <w:rStyle w:val="9"/>
        <w:rFonts w:hint="eastAsia"/>
        <w:sz w:val="28"/>
      </w:rPr>
      <w:t>—</w:t>
    </w:r>
  </w:p>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rPr>
    </w:pPr>
    <w:r>
      <w:fldChar w:fldCharType="begin"/>
    </w:r>
    <w:r>
      <w:rPr>
        <w:rStyle w:val="9"/>
      </w:rPr>
      <w:instrText xml:space="preserve">PAGE  </w:instrText>
    </w:r>
    <w:r>
      <w:fldChar w:fldCharType="end"/>
    </w:r>
  </w:p>
  <w:p>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HorizontalSpacing w:val="201"/>
  <w:drawingGridVerticalSpacing w:val="289"/>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wMzk0YTNmOTEwYzJjM2U3NzNmMTczYWNhOTU0MmYifQ=="/>
  </w:docVars>
  <w:rsids>
    <w:rsidRoot w:val="0052186E"/>
    <w:rsid w:val="000007A8"/>
    <w:rsid w:val="000044C7"/>
    <w:rsid w:val="000068A5"/>
    <w:rsid w:val="0003738B"/>
    <w:rsid w:val="00071623"/>
    <w:rsid w:val="000B10C5"/>
    <w:rsid w:val="000E2D13"/>
    <w:rsid w:val="00143BAA"/>
    <w:rsid w:val="00184D7D"/>
    <w:rsid w:val="001C2AA4"/>
    <w:rsid w:val="001C3B43"/>
    <w:rsid w:val="002B4F82"/>
    <w:rsid w:val="002E19E1"/>
    <w:rsid w:val="002E5E1B"/>
    <w:rsid w:val="002F11DA"/>
    <w:rsid w:val="002F6A2E"/>
    <w:rsid w:val="00326547"/>
    <w:rsid w:val="00334EA9"/>
    <w:rsid w:val="00344D03"/>
    <w:rsid w:val="003454CF"/>
    <w:rsid w:val="00346591"/>
    <w:rsid w:val="0036674E"/>
    <w:rsid w:val="003811AD"/>
    <w:rsid w:val="003A0B3A"/>
    <w:rsid w:val="003B4936"/>
    <w:rsid w:val="003C2B8E"/>
    <w:rsid w:val="003D411B"/>
    <w:rsid w:val="0040798F"/>
    <w:rsid w:val="00423112"/>
    <w:rsid w:val="00470219"/>
    <w:rsid w:val="00475655"/>
    <w:rsid w:val="00475EA0"/>
    <w:rsid w:val="004D08EE"/>
    <w:rsid w:val="0052186E"/>
    <w:rsid w:val="00573751"/>
    <w:rsid w:val="00577ED3"/>
    <w:rsid w:val="005A520C"/>
    <w:rsid w:val="005C2FB4"/>
    <w:rsid w:val="00600D6F"/>
    <w:rsid w:val="006060B6"/>
    <w:rsid w:val="00643EF8"/>
    <w:rsid w:val="006463F7"/>
    <w:rsid w:val="00672D83"/>
    <w:rsid w:val="00686D91"/>
    <w:rsid w:val="006D1237"/>
    <w:rsid w:val="00712D3A"/>
    <w:rsid w:val="007276F9"/>
    <w:rsid w:val="007318B6"/>
    <w:rsid w:val="00731E55"/>
    <w:rsid w:val="00752846"/>
    <w:rsid w:val="00763B0E"/>
    <w:rsid w:val="00773454"/>
    <w:rsid w:val="00777D65"/>
    <w:rsid w:val="00781034"/>
    <w:rsid w:val="007A0114"/>
    <w:rsid w:val="007A2640"/>
    <w:rsid w:val="007B01A3"/>
    <w:rsid w:val="007B1EDA"/>
    <w:rsid w:val="007C6740"/>
    <w:rsid w:val="007D0386"/>
    <w:rsid w:val="007D2F1D"/>
    <w:rsid w:val="00846D11"/>
    <w:rsid w:val="0085493B"/>
    <w:rsid w:val="00873B40"/>
    <w:rsid w:val="008914FD"/>
    <w:rsid w:val="008D6530"/>
    <w:rsid w:val="008E29A0"/>
    <w:rsid w:val="008F2448"/>
    <w:rsid w:val="00912EC7"/>
    <w:rsid w:val="00922DE0"/>
    <w:rsid w:val="00942266"/>
    <w:rsid w:val="00963484"/>
    <w:rsid w:val="009920BF"/>
    <w:rsid w:val="0099656B"/>
    <w:rsid w:val="009C102D"/>
    <w:rsid w:val="009C116B"/>
    <w:rsid w:val="009F78DD"/>
    <w:rsid w:val="009F7972"/>
    <w:rsid w:val="00A36258"/>
    <w:rsid w:val="00A91468"/>
    <w:rsid w:val="00AA3F8A"/>
    <w:rsid w:val="00AA64D3"/>
    <w:rsid w:val="00AC3CF4"/>
    <w:rsid w:val="00AE4B3F"/>
    <w:rsid w:val="00AE656A"/>
    <w:rsid w:val="00B123FE"/>
    <w:rsid w:val="00B70BCD"/>
    <w:rsid w:val="00B770E9"/>
    <w:rsid w:val="00B93140"/>
    <w:rsid w:val="00BA35B4"/>
    <w:rsid w:val="00BC6067"/>
    <w:rsid w:val="00C22CEC"/>
    <w:rsid w:val="00C2526A"/>
    <w:rsid w:val="00CC42BE"/>
    <w:rsid w:val="00CE2267"/>
    <w:rsid w:val="00CE76C4"/>
    <w:rsid w:val="00D000FF"/>
    <w:rsid w:val="00D173C2"/>
    <w:rsid w:val="00D40E94"/>
    <w:rsid w:val="00D43624"/>
    <w:rsid w:val="00D44E9D"/>
    <w:rsid w:val="00D64A77"/>
    <w:rsid w:val="00D8625C"/>
    <w:rsid w:val="00DB7FA1"/>
    <w:rsid w:val="00DD768C"/>
    <w:rsid w:val="00E2093B"/>
    <w:rsid w:val="00E31F62"/>
    <w:rsid w:val="00E67E23"/>
    <w:rsid w:val="00E74110"/>
    <w:rsid w:val="00EA77DD"/>
    <w:rsid w:val="00EB3529"/>
    <w:rsid w:val="00EC2918"/>
    <w:rsid w:val="00F13242"/>
    <w:rsid w:val="00F23CEA"/>
    <w:rsid w:val="00F35D3F"/>
    <w:rsid w:val="00F410DE"/>
    <w:rsid w:val="00F61E7C"/>
    <w:rsid w:val="00FB20E7"/>
    <w:rsid w:val="1EBD1CDF"/>
    <w:rsid w:val="1F75C917"/>
    <w:rsid w:val="29F79B4C"/>
    <w:rsid w:val="4BCEDF44"/>
    <w:rsid w:val="509D360E"/>
    <w:rsid w:val="67EF89D4"/>
    <w:rsid w:val="6D7E67A1"/>
    <w:rsid w:val="71FA8163"/>
    <w:rsid w:val="75FFD392"/>
    <w:rsid w:val="76ECA511"/>
    <w:rsid w:val="7AFEF08A"/>
    <w:rsid w:val="979352A3"/>
    <w:rsid w:val="BF7F705B"/>
    <w:rsid w:val="D67C42A4"/>
    <w:rsid w:val="DBF4036A"/>
    <w:rsid w:val="E9BD9F45"/>
    <w:rsid w:val="F7FFE1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link w:val="11"/>
    <w:uiPriority w:val="0"/>
    <w:rPr>
      <w:rFonts w:eastAsia="文星仿宋"/>
      <w:sz w:val="32"/>
    </w:rPr>
  </w:style>
  <w:style w:type="paragraph" w:styleId="3">
    <w:name w:val="Date"/>
    <w:basedOn w:val="1"/>
    <w:next w:val="1"/>
    <w:uiPriority w:val="0"/>
    <w:pPr>
      <w:ind w:left="100" w:leftChars="2500"/>
    </w:pPr>
  </w:style>
  <w:style w:type="paragraph" w:styleId="4">
    <w:name w:val="Balloon Text"/>
    <w:basedOn w:val="1"/>
    <w:semiHidden/>
    <w:uiPriority w:val="0"/>
    <w:rPr>
      <w:sz w:val="18"/>
      <w:szCs w:val="18"/>
    </w:r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uiPriority w:val="0"/>
  </w:style>
  <w:style w:type="character" w:styleId="10">
    <w:name w:val="Hyperlink"/>
    <w:uiPriority w:val="0"/>
    <w:rPr>
      <w:color w:val="0000FF"/>
      <w:u w:val="single"/>
    </w:rPr>
  </w:style>
  <w:style w:type="character" w:customStyle="1" w:styleId="11">
    <w:name w:val="正文文本 Char"/>
    <w:link w:val="2"/>
    <w:uiPriority w:val="0"/>
    <w:rPr>
      <w:rFonts w:eastAsia="文星仿宋"/>
      <w:kern w:val="2"/>
      <w:sz w:val="32"/>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tjszf</Company>
  <Pages>4</Pages>
  <Words>137</Words>
  <Characters>781</Characters>
  <Lines>6</Lines>
  <Paragraphs>1</Paragraphs>
  <TotalTime>0</TotalTime>
  <ScaleCrop>false</ScaleCrop>
  <LinksUpToDate>false</LinksUpToDate>
  <CharactersWithSpaces>917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2014-06-10T16:51:00Z</dcterms:created>
  <dc:creator>jsj</dc:creator>
  <cp:lastModifiedBy> Chloe堂姐</cp:lastModifiedBy>
  <cp:lastPrinted>2020-12-27T17:46:00Z</cp:lastPrinted>
  <dcterms:modified xsi:type="dcterms:W3CDTF">2025-06-11T08:17:43Z</dcterms:modified>
  <dc:title>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A774233EBB3B48DC9C7C06FAC22D4B53_13</vt:lpwstr>
  </property>
</Properties>
</file>