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7EA" w:rsidRPr="00344D03" w:rsidRDefault="000B57EA" w:rsidP="000B57EA">
      <w:pPr>
        <w:pStyle w:val="a3"/>
        <w:rPr>
          <w:rFonts w:hint="eastAsia"/>
          <w:szCs w:val="32"/>
        </w:rPr>
      </w:pPr>
    </w:p>
    <w:p w:rsidR="000B57EA" w:rsidRPr="00185D2E" w:rsidRDefault="000B57EA" w:rsidP="000B57EA">
      <w:pPr>
        <w:snapToGrid w:val="0"/>
        <w:spacing w:afterLines="50" w:after="156"/>
        <w:rPr>
          <w:rFonts w:eastAsia="黑体"/>
          <w:sz w:val="32"/>
          <w:szCs w:val="32"/>
        </w:rPr>
      </w:pPr>
      <w:r w:rsidRPr="00185D2E">
        <w:rPr>
          <w:rFonts w:eastAsia="黑体" w:hAnsi="黑体"/>
          <w:sz w:val="32"/>
          <w:szCs w:val="32"/>
        </w:rPr>
        <w:t>附件</w:t>
      </w:r>
      <w:r w:rsidRPr="00185D2E">
        <w:rPr>
          <w:rFonts w:eastAsia="黑体"/>
          <w:sz w:val="32"/>
          <w:szCs w:val="32"/>
        </w:rPr>
        <w:t>1</w:t>
      </w:r>
    </w:p>
    <w:p w:rsidR="000B57EA" w:rsidRPr="001D2682" w:rsidRDefault="000B57EA" w:rsidP="000B57EA">
      <w:pPr>
        <w:snapToGrid w:val="0"/>
        <w:jc w:val="center"/>
        <w:rPr>
          <w:rFonts w:ascii="文星标宋" w:eastAsia="文星标宋" w:hAnsi="文星标宋"/>
          <w:sz w:val="44"/>
          <w:szCs w:val="44"/>
        </w:rPr>
      </w:pPr>
      <w:r w:rsidRPr="001D2682">
        <w:rPr>
          <w:rFonts w:ascii="文星标宋" w:eastAsia="文星标宋" w:hAnsi="文星标宋" w:hint="eastAsia"/>
          <w:sz w:val="44"/>
          <w:szCs w:val="44"/>
        </w:rPr>
        <w:t>国务院决定取消行政许可事项涉及</w:t>
      </w:r>
    </w:p>
    <w:p w:rsidR="000B57EA" w:rsidRPr="001D2682" w:rsidRDefault="000B57EA" w:rsidP="000B57EA">
      <w:pPr>
        <w:snapToGrid w:val="0"/>
        <w:spacing w:afterLines="50" w:after="156"/>
        <w:jc w:val="center"/>
        <w:rPr>
          <w:rFonts w:ascii="文星标宋" w:eastAsia="文星标宋" w:hAnsi="文星标宋"/>
          <w:sz w:val="44"/>
          <w:szCs w:val="44"/>
        </w:rPr>
      </w:pPr>
      <w:r>
        <w:rPr>
          <w:rFonts w:ascii="文星标宋" w:eastAsia="文星标宋" w:hAnsi="文星标宋" w:hint="eastAsia"/>
          <w:sz w:val="44"/>
          <w:szCs w:val="44"/>
        </w:rPr>
        <w:t>本</w:t>
      </w:r>
      <w:r w:rsidRPr="001D2682">
        <w:rPr>
          <w:rFonts w:ascii="文星标宋" w:eastAsia="文星标宋" w:hAnsi="文星标宋" w:hint="eastAsia"/>
          <w:sz w:val="44"/>
          <w:szCs w:val="44"/>
        </w:rPr>
        <w:t>市取消的行政许可事项目录（</w:t>
      </w:r>
      <w:r w:rsidRPr="001D2682">
        <w:rPr>
          <w:rFonts w:ascii="文星标宋" w:eastAsia="文星标宋" w:hAnsi="文星标宋"/>
          <w:sz w:val="44"/>
          <w:szCs w:val="44"/>
        </w:rPr>
        <w:t>1</w:t>
      </w:r>
      <w:r>
        <w:rPr>
          <w:rFonts w:ascii="文星标宋" w:eastAsia="文星标宋" w:hAnsi="文星标宋" w:hint="eastAsia"/>
          <w:sz w:val="44"/>
          <w:szCs w:val="44"/>
        </w:rPr>
        <w:t>2</w:t>
      </w:r>
      <w:r w:rsidRPr="001D2682">
        <w:rPr>
          <w:rFonts w:ascii="文星标宋" w:eastAsia="文星标宋" w:hAnsi="文星标宋" w:hint="eastAsia"/>
          <w:sz w:val="44"/>
          <w:szCs w:val="44"/>
        </w:rPr>
        <w:t>项）</w:t>
      </w: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1264"/>
        <w:gridCol w:w="1146"/>
        <w:gridCol w:w="1279"/>
        <w:gridCol w:w="4016"/>
        <w:gridCol w:w="1521"/>
      </w:tblGrid>
      <w:tr w:rsidR="000B57EA" w:rsidRPr="007E0FD6" w:rsidTr="00F91C5C">
        <w:trPr>
          <w:cantSplit/>
          <w:trHeight w:val="540"/>
          <w:tblHeader/>
          <w:jc w:val="center"/>
        </w:trPr>
        <w:tc>
          <w:tcPr>
            <w:tcW w:w="746" w:type="dxa"/>
            <w:vAlign w:val="center"/>
          </w:tcPr>
          <w:p w:rsidR="000B57EA" w:rsidRPr="007E0FD6" w:rsidRDefault="000B57EA" w:rsidP="00F91C5C">
            <w:pPr>
              <w:snapToGrid w:val="0"/>
              <w:spacing w:line="300" w:lineRule="exact"/>
              <w:jc w:val="center"/>
              <w:rPr>
                <w:rFonts w:ascii="黑体" w:eastAsia="黑体" w:hAnsi="黑体"/>
                <w:sz w:val="24"/>
              </w:rPr>
            </w:pPr>
            <w:r w:rsidRPr="007E0FD6">
              <w:rPr>
                <w:rFonts w:ascii="黑体" w:eastAsia="黑体" w:hAnsi="黑体"/>
                <w:sz w:val="24"/>
              </w:rPr>
              <w:t>序号</w:t>
            </w:r>
          </w:p>
        </w:tc>
        <w:tc>
          <w:tcPr>
            <w:tcW w:w="1264" w:type="dxa"/>
            <w:vAlign w:val="center"/>
          </w:tcPr>
          <w:p w:rsidR="000B57EA" w:rsidRPr="007E0FD6" w:rsidRDefault="000B57EA" w:rsidP="00F91C5C">
            <w:pPr>
              <w:snapToGrid w:val="0"/>
              <w:spacing w:line="300" w:lineRule="exact"/>
              <w:jc w:val="center"/>
              <w:rPr>
                <w:rFonts w:ascii="黑体" w:eastAsia="黑体" w:hAnsi="黑体"/>
                <w:sz w:val="24"/>
              </w:rPr>
            </w:pPr>
            <w:r w:rsidRPr="007E0FD6">
              <w:rPr>
                <w:rFonts w:ascii="黑体" w:eastAsia="黑体" w:hAnsi="黑体"/>
                <w:sz w:val="24"/>
              </w:rPr>
              <w:t>事项名称</w:t>
            </w:r>
          </w:p>
        </w:tc>
        <w:tc>
          <w:tcPr>
            <w:tcW w:w="1146" w:type="dxa"/>
            <w:vAlign w:val="center"/>
          </w:tcPr>
          <w:p w:rsidR="000B57EA" w:rsidRPr="007E0FD6" w:rsidRDefault="000B57EA" w:rsidP="00F91C5C">
            <w:pPr>
              <w:snapToGrid w:val="0"/>
              <w:spacing w:line="300" w:lineRule="exact"/>
              <w:jc w:val="center"/>
              <w:rPr>
                <w:rFonts w:ascii="黑体" w:eastAsia="黑体" w:hAnsi="黑体"/>
                <w:sz w:val="24"/>
              </w:rPr>
            </w:pPr>
            <w:r w:rsidRPr="007E0FD6">
              <w:rPr>
                <w:rFonts w:ascii="黑体" w:eastAsia="黑体" w:hAnsi="黑体"/>
                <w:sz w:val="24"/>
              </w:rPr>
              <w:t>实施部门</w:t>
            </w:r>
          </w:p>
        </w:tc>
        <w:tc>
          <w:tcPr>
            <w:tcW w:w="1279" w:type="dxa"/>
            <w:vAlign w:val="center"/>
          </w:tcPr>
          <w:p w:rsidR="000B57EA" w:rsidRPr="007E0FD6" w:rsidRDefault="000B57EA" w:rsidP="00F91C5C">
            <w:pPr>
              <w:snapToGrid w:val="0"/>
              <w:spacing w:line="300" w:lineRule="exact"/>
              <w:jc w:val="center"/>
              <w:rPr>
                <w:rFonts w:ascii="黑体" w:eastAsia="黑体" w:hAnsi="黑体"/>
                <w:sz w:val="24"/>
              </w:rPr>
            </w:pPr>
            <w:r w:rsidRPr="007E0FD6">
              <w:rPr>
                <w:rFonts w:ascii="黑体" w:eastAsia="黑体" w:hAnsi="黑体"/>
                <w:sz w:val="24"/>
              </w:rPr>
              <w:t>设定依据</w:t>
            </w:r>
          </w:p>
        </w:tc>
        <w:tc>
          <w:tcPr>
            <w:tcW w:w="4016" w:type="dxa"/>
            <w:vAlign w:val="center"/>
          </w:tcPr>
          <w:p w:rsidR="000B57EA" w:rsidRPr="007E0FD6" w:rsidRDefault="000B57EA" w:rsidP="00F91C5C">
            <w:pPr>
              <w:snapToGrid w:val="0"/>
              <w:spacing w:line="300" w:lineRule="exact"/>
              <w:jc w:val="center"/>
              <w:rPr>
                <w:rFonts w:ascii="黑体" w:eastAsia="黑体" w:hAnsi="黑体"/>
                <w:sz w:val="24"/>
              </w:rPr>
            </w:pPr>
            <w:r w:rsidRPr="007E0FD6">
              <w:rPr>
                <w:rFonts w:ascii="黑体" w:eastAsia="黑体" w:hAnsi="黑体"/>
                <w:sz w:val="24"/>
              </w:rPr>
              <w:t>加强事中事后监管措施</w:t>
            </w:r>
          </w:p>
        </w:tc>
        <w:tc>
          <w:tcPr>
            <w:tcW w:w="1521" w:type="dxa"/>
            <w:vAlign w:val="center"/>
          </w:tcPr>
          <w:p w:rsidR="000B57EA" w:rsidRPr="007E0FD6" w:rsidRDefault="000B57EA" w:rsidP="00F91C5C">
            <w:pPr>
              <w:snapToGrid w:val="0"/>
              <w:spacing w:line="300" w:lineRule="exact"/>
              <w:jc w:val="center"/>
              <w:rPr>
                <w:rFonts w:ascii="黑体" w:eastAsia="黑体" w:hAnsi="黑体" w:hint="eastAsia"/>
                <w:sz w:val="24"/>
              </w:rPr>
            </w:pPr>
            <w:r w:rsidRPr="007E0FD6">
              <w:rPr>
                <w:rFonts w:ascii="黑体" w:eastAsia="黑体" w:hAnsi="黑体" w:hint="eastAsia"/>
                <w:sz w:val="24"/>
              </w:rPr>
              <w:t>备注</w:t>
            </w:r>
          </w:p>
        </w:tc>
      </w:tr>
      <w:tr w:rsidR="000B57EA" w:rsidRPr="007E0FD6" w:rsidTr="00F91C5C">
        <w:trPr>
          <w:cantSplit/>
          <w:jc w:val="center"/>
        </w:trPr>
        <w:tc>
          <w:tcPr>
            <w:tcW w:w="746" w:type="dxa"/>
            <w:vAlign w:val="center"/>
          </w:tcPr>
          <w:p w:rsidR="000B57EA" w:rsidRPr="007E0FD6" w:rsidRDefault="000B57EA" w:rsidP="00F91C5C">
            <w:pPr>
              <w:snapToGrid w:val="0"/>
              <w:spacing w:line="300" w:lineRule="exact"/>
              <w:jc w:val="center"/>
              <w:rPr>
                <w:rFonts w:eastAsia="仿宋_GB2312"/>
                <w:sz w:val="24"/>
              </w:rPr>
            </w:pPr>
            <w:r w:rsidRPr="007E0FD6">
              <w:rPr>
                <w:rFonts w:eastAsia="仿宋_GB2312"/>
                <w:sz w:val="24"/>
              </w:rPr>
              <w:t>1</w:t>
            </w:r>
          </w:p>
        </w:tc>
        <w:tc>
          <w:tcPr>
            <w:tcW w:w="1264" w:type="dxa"/>
            <w:vAlign w:val="center"/>
          </w:tcPr>
          <w:p w:rsidR="000B57EA" w:rsidRPr="007E0FD6" w:rsidRDefault="000B57EA" w:rsidP="00F91C5C">
            <w:pPr>
              <w:widowControl/>
              <w:snapToGrid w:val="0"/>
              <w:spacing w:line="300" w:lineRule="exact"/>
              <w:rPr>
                <w:rFonts w:eastAsia="仿宋_GB2312" w:hint="eastAsia"/>
                <w:sz w:val="24"/>
              </w:rPr>
            </w:pPr>
            <w:r w:rsidRPr="007E0FD6">
              <w:rPr>
                <w:rFonts w:eastAsia="仿宋_GB2312"/>
                <w:sz w:val="24"/>
              </w:rPr>
              <w:t>假肢和矫形器（辅助器具）生产装配企业资格认定</w:t>
            </w:r>
          </w:p>
        </w:tc>
        <w:tc>
          <w:tcPr>
            <w:tcW w:w="1146" w:type="dxa"/>
            <w:vAlign w:val="center"/>
          </w:tcPr>
          <w:p w:rsidR="000B57EA" w:rsidRPr="007E0FD6" w:rsidRDefault="000B57EA" w:rsidP="00F91C5C">
            <w:pPr>
              <w:snapToGrid w:val="0"/>
              <w:spacing w:line="300" w:lineRule="exact"/>
              <w:rPr>
                <w:rFonts w:eastAsia="仿宋_GB2312"/>
                <w:sz w:val="24"/>
              </w:rPr>
            </w:pPr>
            <w:r w:rsidRPr="007E0FD6">
              <w:rPr>
                <w:rFonts w:eastAsia="仿宋_GB2312"/>
                <w:sz w:val="24"/>
              </w:rPr>
              <w:t>市民政局</w:t>
            </w:r>
          </w:p>
        </w:tc>
        <w:tc>
          <w:tcPr>
            <w:tcW w:w="1279" w:type="dxa"/>
            <w:vAlign w:val="center"/>
          </w:tcPr>
          <w:p w:rsidR="000B57EA" w:rsidRPr="007E0FD6" w:rsidRDefault="000B57EA" w:rsidP="00F91C5C">
            <w:pPr>
              <w:widowControl/>
              <w:snapToGrid w:val="0"/>
              <w:spacing w:line="300" w:lineRule="exact"/>
              <w:rPr>
                <w:rFonts w:eastAsia="仿宋_GB2312"/>
                <w:sz w:val="24"/>
              </w:rPr>
            </w:pPr>
            <w:r w:rsidRPr="007E0FD6">
              <w:rPr>
                <w:rFonts w:eastAsia="仿宋_GB2312"/>
                <w:sz w:val="24"/>
              </w:rPr>
              <w:t>《国务院对确需保留的行政审批项目设定行政许可的决定》</w:t>
            </w:r>
          </w:p>
        </w:tc>
        <w:tc>
          <w:tcPr>
            <w:tcW w:w="4016" w:type="dxa"/>
            <w:vAlign w:val="center"/>
          </w:tcPr>
          <w:p w:rsidR="000B57EA" w:rsidRPr="007E0FD6" w:rsidRDefault="000B57EA" w:rsidP="00F91C5C">
            <w:pPr>
              <w:widowControl/>
              <w:snapToGrid w:val="0"/>
              <w:spacing w:line="300" w:lineRule="exact"/>
              <w:rPr>
                <w:rFonts w:eastAsia="仿宋_GB2312"/>
                <w:sz w:val="24"/>
              </w:rPr>
            </w:pPr>
            <w:r w:rsidRPr="007E0FD6">
              <w:rPr>
                <w:rFonts w:eastAsia="仿宋_GB2312"/>
                <w:sz w:val="24"/>
              </w:rPr>
              <w:t>取消审批后，民政部门要加快完善假肢和矫形器生产装配有关标准，会同有关部门通过以下措施加强事中事后监管：</w:t>
            </w:r>
            <w:r w:rsidRPr="007E0FD6">
              <w:rPr>
                <w:rFonts w:eastAsia="仿宋_GB2312"/>
                <w:sz w:val="24"/>
              </w:rPr>
              <w:t>1</w:t>
            </w:r>
            <w:r w:rsidRPr="007E0FD6">
              <w:rPr>
                <w:rFonts w:eastAsia="仿宋_GB2312"/>
                <w:sz w:val="24"/>
              </w:rPr>
              <w:t>．加强信息共享，地方市场监管部门将相关企业登记注册信息共享至省级共享平台，地方民政部门及时获取。</w:t>
            </w:r>
            <w:r w:rsidRPr="007E0FD6">
              <w:rPr>
                <w:rFonts w:eastAsia="仿宋_GB2312"/>
                <w:sz w:val="24"/>
              </w:rPr>
              <w:t>2</w:t>
            </w:r>
            <w:r w:rsidRPr="007E0FD6">
              <w:rPr>
                <w:rFonts w:eastAsia="仿宋_GB2312"/>
                <w:sz w:val="24"/>
              </w:rPr>
              <w:t>．实施年度报告制度，生产装配企业每年编制报送年度报告。</w:t>
            </w:r>
            <w:r w:rsidRPr="007E0FD6">
              <w:rPr>
                <w:rFonts w:eastAsia="仿宋_GB2312"/>
                <w:sz w:val="24"/>
              </w:rPr>
              <w:t>3</w:t>
            </w:r>
            <w:r w:rsidRPr="007E0FD6">
              <w:rPr>
                <w:rFonts w:eastAsia="仿宋_GB2312"/>
                <w:sz w:val="24"/>
              </w:rPr>
              <w:t>．开展</w:t>
            </w:r>
            <w:r w:rsidRPr="007E0FD6">
              <w:rPr>
                <w:rFonts w:ascii="仿宋_GB2312" w:eastAsia="仿宋_GB2312" w:hint="eastAsia"/>
                <w:sz w:val="24"/>
              </w:rPr>
              <w:t>“双随机、</w:t>
            </w:r>
            <w:proofErr w:type="gramStart"/>
            <w:r w:rsidRPr="007E0FD6">
              <w:rPr>
                <w:rFonts w:ascii="仿宋_GB2312" w:eastAsia="仿宋_GB2312" w:hint="eastAsia"/>
                <w:sz w:val="24"/>
              </w:rPr>
              <w:t>一</w:t>
            </w:r>
            <w:proofErr w:type="gramEnd"/>
            <w:r w:rsidRPr="007E0FD6">
              <w:rPr>
                <w:rFonts w:ascii="仿宋_GB2312" w:eastAsia="仿宋_GB2312" w:hint="eastAsia"/>
                <w:sz w:val="24"/>
              </w:rPr>
              <w:t>公开”监管、重点监管，及时</w:t>
            </w:r>
            <w:r w:rsidRPr="007E0FD6">
              <w:rPr>
                <w:rFonts w:eastAsia="仿宋_GB2312"/>
                <w:sz w:val="24"/>
              </w:rPr>
              <w:t>调查处理投诉举报，依法处罚违法行为，并向社会公开。</w:t>
            </w:r>
            <w:r w:rsidRPr="007E0FD6">
              <w:rPr>
                <w:rFonts w:eastAsia="仿宋_GB2312"/>
                <w:sz w:val="24"/>
              </w:rPr>
              <w:t>4</w:t>
            </w:r>
            <w:r w:rsidRPr="007E0FD6">
              <w:rPr>
                <w:rFonts w:eastAsia="仿宋_GB2312"/>
                <w:sz w:val="24"/>
              </w:rPr>
              <w:t>．加强信用监管，建立企业信用档案，及时公开信用信息。</w:t>
            </w:r>
            <w:r w:rsidRPr="007E0FD6">
              <w:rPr>
                <w:rFonts w:eastAsia="仿宋_GB2312"/>
                <w:sz w:val="24"/>
              </w:rPr>
              <w:t>5</w:t>
            </w:r>
            <w:r w:rsidRPr="007E0FD6">
              <w:rPr>
                <w:rFonts w:eastAsia="仿宋_GB2312"/>
                <w:sz w:val="24"/>
              </w:rPr>
              <w:t>．发挥行业组织作用，加强行业自律。</w:t>
            </w:r>
          </w:p>
        </w:tc>
        <w:tc>
          <w:tcPr>
            <w:tcW w:w="1521" w:type="dxa"/>
            <w:vAlign w:val="center"/>
          </w:tcPr>
          <w:p w:rsidR="000B57EA" w:rsidRPr="007E0FD6" w:rsidRDefault="000B57EA" w:rsidP="00F91C5C">
            <w:pPr>
              <w:snapToGrid w:val="0"/>
              <w:spacing w:line="280" w:lineRule="exact"/>
              <w:rPr>
                <w:rFonts w:ascii="仿宋_GB2312" w:eastAsia="仿宋_GB2312" w:hint="eastAsia"/>
                <w:sz w:val="24"/>
              </w:rPr>
            </w:pPr>
            <w:r w:rsidRPr="007E0FD6">
              <w:rPr>
                <w:rFonts w:ascii="仿宋_GB2312" w:eastAsia="仿宋_GB2312" w:hint="eastAsia"/>
                <w:sz w:val="24"/>
              </w:rPr>
              <w:t>对应取消天津市市级暂不列入行政许可事项“假肢和矫形器（辅助器具）生产装配企业资格认定”。</w:t>
            </w:r>
          </w:p>
        </w:tc>
      </w:tr>
      <w:tr w:rsidR="000B57EA" w:rsidRPr="007E0FD6" w:rsidTr="00F91C5C">
        <w:trPr>
          <w:cantSplit/>
          <w:jc w:val="center"/>
        </w:trPr>
        <w:tc>
          <w:tcPr>
            <w:tcW w:w="746" w:type="dxa"/>
            <w:vAlign w:val="center"/>
          </w:tcPr>
          <w:p w:rsidR="000B57EA" w:rsidRPr="007E0FD6" w:rsidRDefault="000B57EA" w:rsidP="00F91C5C">
            <w:pPr>
              <w:snapToGrid w:val="0"/>
              <w:spacing w:line="300" w:lineRule="exact"/>
              <w:jc w:val="center"/>
              <w:rPr>
                <w:rFonts w:eastAsia="仿宋_GB2312"/>
                <w:sz w:val="24"/>
              </w:rPr>
            </w:pPr>
            <w:r w:rsidRPr="007E0FD6">
              <w:rPr>
                <w:rFonts w:eastAsia="仿宋_GB2312"/>
                <w:sz w:val="24"/>
              </w:rPr>
              <w:t>2</w:t>
            </w:r>
          </w:p>
        </w:tc>
        <w:tc>
          <w:tcPr>
            <w:tcW w:w="1264" w:type="dxa"/>
            <w:vAlign w:val="center"/>
          </w:tcPr>
          <w:p w:rsidR="000B57EA" w:rsidRPr="007E0FD6" w:rsidRDefault="000B57EA" w:rsidP="00F91C5C">
            <w:pPr>
              <w:widowControl/>
              <w:snapToGrid w:val="0"/>
              <w:spacing w:line="300" w:lineRule="exact"/>
              <w:rPr>
                <w:rFonts w:eastAsia="仿宋_GB2312" w:hint="eastAsia"/>
                <w:sz w:val="24"/>
              </w:rPr>
            </w:pPr>
            <w:r w:rsidRPr="007E0FD6">
              <w:rPr>
                <w:rFonts w:eastAsia="仿宋_GB2312"/>
                <w:sz w:val="24"/>
              </w:rPr>
              <w:t>设立、调整海洋观测站（点）审批</w:t>
            </w:r>
          </w:p>
        </w:tc>
        <w:tc>
          <w:tcPr>
            <w:tcW w:w="1146" w:type="dxa"/>
            <w:vAlign w:val="center"/>
          </w:tcPr>
          <w:p w:rsidR="000B57EA" w:rsidRPr="007E0FD6" w:rsidRDefault="000B57EA" w:rsidP="00F91C5C">
            <w:pPr>
              <w:snapToGrid w:val="0"/>
              <w:spacing w:line="300" w:lineRule="exact"/>
              <w:rPr>
                <w:rFonts w:eastAsia="仿宋_GB2312"/>
                <w:sz w:val="24"/>
              </w:rPr>
            </w:pPr>
            <w:r w:rsidRPr="007E0FD6">
              <w:rPr>
                <w:rFonts w:eastAsia="仿宋_GB2312"/>
                <w:sz w:val="24"/>
              </w:rPr>
              <w:t>市规划和自然资源局</w:t>
            </w:r>
          </w:p>
        </w:tc>
        <w:tc>
          <w:tcPr>
            <w:tcW w:w="1279" w:type="dxa"/>
            <w:vAlign w:val="center"/>
          </w:tcPr>
          <w:p w:rsidR="000B57EA" w:rsidRPr="007E0FD6" w:rsidRDefault="000B57EA" w:rsidP="00F91C5C">
            <w:pPr>
              <w:widowControl/>
              <w:snapToGrid w:val="0"/>
              <w:spacing w:line="300" w:lineRule="exact"/>
              <w:rPr>
                <w:rFonts w:eastAsia="仿宋_GB2312"/>
                <w:sz w:val="24"/>
              </w:rPr>
            </w:pPr>
            <w:r w:rsidRPr="007E0FD6">
              <w:rPr>
                <w:rFonts w:eastAsia="仿宋_GB2312"/>
                <w:sz w:val="24"/>
              </w:rPr>
              <w:t>《海洋观测预报管理条例》</w:t>
            </w:r>
          </w:p>
        </w:tc>
        <w:tc>
          <w:tcPr>
            <w:tcW w:w="4016" w:type="dxa"/>
            <w:vAlign w:val="center"/>
          </w:tcPr>
          <w:p w:rsidR="000B57EA" w:rsidRPr="007E0FD6" w:rsidRDefault="000B57EA" w:rsidP="00F91C5C">
            <w:pPr>
              <w:widowControl/>
              <w:snapToGrid w:val="0"/>
              <w:spacing w:line="280" w:lineRule="exact"/>
              <w:rPr>
                <w:rFonts w:eastAsia="仿宋_GB2312"/>
                <w:sz w:val="24"/>
              </w:rPr>
            </w:pPr>
            <w:r w:rsidRPr="007E0FD6">
              <w:rPr>
                <w:rFonts w:eastAsia="仿宋_GB2312"/>
                <w:sz w:val="24"/>
              </w:rPr>
              <w:t>取消审批后，改为备案。各级自然资源部门要通过以下措施加强事中事后监管：</w:t>
            </w:r>
            <w:r w:rsidRPr="007E0FD6">
              <w:rPr>
                <w:rFonts w:eastAsia="仿宋_GB2312"/>
                <w:sz w:val="24"/>
              </w:rPr>
              <w:t>1</w:t>
            </w:r>
            <w:r w:rsidRPr="007E0FD6">
              <w:rPr>
                <w:rFonts w:eastAsia="仿宋_GB2312"/>
                <w:sz w:val="24"/>
              </w:rPr>
              <w:t>．建立备案制度，要求设立、调整海洋观测站（点）的单位和个人主动备案。</w:t>
            </w:r>
            <w:r w:rsidRPr="007E0FD6">
              <w:rPr>
                <w:rFonts w:eastAsia="仿宋_GB2312"/>
                <w:sz w:val="24"/>
              </w:rPr>
              <w:t>2</w:t>
            </w:r>
            <w:r w:rsidRPr="007E0FD6">
              <w:rPr>
                <w:rFonts w:eastAsia="仿宋_GB2312"/>
                <w:sz w:val="24"/>
              </w:rPr>
              <w:t>．</w:t>
            </w:r>
            <w:proofErr w:type="gramStart"/>
            <w:r w:rsidRPr="007E0FD6">
              <w:rPr>
                <w:rFonts w:eastAsia="仿宋_GB2312"/>
                <w:sz w:val="24"/>
              </w:rPr>
              <w:t>健全部门</w:t>
            </w:r>
            <w:proofErr w:type="gramEnd"/>
            <w:r w:rsidRPr="007E0FD6">
              <w:rPr>
                <w:rFonts w:eastAsia="仿宋_GB2312"/>
                <w:sz w:val="24"/>
              </w:rPr>
              <w:t>间协调机制，加强与气象、水利等相关部门的沟通协调，发挥行业协会自律作用，协调解决有关问题，加强海洋观测资料汇交和信息共享。</w:t>
            </w:r>
            <w:r w:rsidRPr="007E0FD6">
              <w:rPr>
                <w:rFonts w:eastAsia="仿宋_GB2312"/>
                <w:sz w:val="24"/>
              </w:rPr>
              <w:t>3</w:t>
            </w:r>
            <w:r w:rsidRPr="007E0FD6">
              <w:rPr>
                <w:rFonts w:eastAsia="仿宋_GB2312"/>
                <w:sz w:val="24"/>
              </w:rPr>
              <w:t>．在日常监管中，加强对海洋观测站（点）的现场巡查。</w:t>
            </w:r>
          </w:p>
        </w:tc>
        <w:tc>
          <w:tcPr>
            <w:tcW w:w="1521" w:type="dxa"/>
            <w:vAlign w:val="center"/>
          </w:tcPr>
          <w:p w:rsidR="000B57EA" w:rsidRPr="007E0FD6" w:rsidRDefault="000B57EA" w:rsidP="00F91C5C">
            <w:pPr>
              <w:snapToGrid w:val="0"/>
              <w:spacing w:line="280" w:lineRule="exact"/>
              <w:rPr>
                <w:rFonts w:ascii="仿宋_GB2312" w:eastAsia="仿宋_GB2312" w:hint="eastAsia"/>
                <w:sz w:val="24"/>
              </w:rPr>
            </w:pPr>
            <w:r w:rsidRPr="007E0FD6">
              <w:rPr>
                <w:rFonts w:ascii="仿宋_GB2312" w:eastAsia="仿宋_GB2312" w:hint="eastAsia"/>
                <w:sz w:val="24"/>
              </w:rPr>
              <w:t>对应取消天津市市级暂不列入行政许可事项“设立和调整海洋观测站（点）许可”,改为备案管理，纳入天津市公共服务事项目录。</w:t>
            </w:r>
          </w:p>
        </w:tc>
      </w:tr>
      <w:tr w:rsidR="000B57EA" w:rsidRPr="007E0FD6" w:rsidTr="00F91C5C">
        <w:trPr>
          <w:cantSplit/>
          <w:trHeight w:val="2751"/>
          <w:jc w:val="center"/>
        </w:trPr>
        <w:tc>
          <w:tcPr>
            <w:tcW w:w="746" w:type="dxa"/>
            <w:vAlign w:val="center"/>
          </w:tcPr>
          <w:p w:rsidR="000B57EA" w:rsidRPr="007E0FD6" w:rsidRDefault="000B57EA" w:rsidP="00F91C5C">
            <w:pPr>
              <w:snapToGrid w:val="0"/>
              <w:spacing w:line="300" w:lineRule="exact"/>
              <w:jc w:val="center"/>
              <w:rPr>
                <w:rFonts w:eastAsia="仿宋_GB2312"/>
                <w:sz w:val="24"/>
              </w:rPr>
            </w:pPr>
            <w:r w:rsidRPr="007E0FD6">
              <w:rPr>
                <w:rFonts w:eastAsia="仿宋_GB2312"/>
                <w:sz w:val="24"/>
              </w:rPr>
              <w:lastRenderedPageBreak/>
              <w:t>3</w:t>
            </w:r>
          </w:p>
        </w:tc>
        <w:tc>
          <w:tcPr>
            <w:tcW w:w="1264" w:type="dxa"/>
            <w:vAlign w:val="center"/>
          </w:tcPr>
          <w:p w:rsidR="000B57EA" w:rsidRPr="007E0FD6" w:rsidRDefault="000B57EA" w:rsidP="00F91C5C">
            <w:pPr>
              <w:widowControl/>
              <w:snapToGrid w:val="0"/>
              <w:spacing w:line="300" w:lineRule="exact"/>
              <w:rPr>
                <w:rFonts w:eastAsia="仿宋_GB2312" w:hint="eastAsia"/>
                <w:sz w:val="24"/>
              </w:rPr>
            </w:pPr>
            <w:r w:rsidRPr="007E0FD6">
              <w:rPr>
                <w:rFonts w:eastAsia="仿宋_GB2312"/>
                <w:sz w:val="24"/>
              </w:rPr>
              <w:t>国际集装箱船、普通货船运输业务审批</w:t>
            </w:r>
          </w:p>
        </w:tc>
        <w:tc>
          <w:tcPr>
            <w:tcW w:w="1146" w:type="dxa"/>
            <w:vAlign w:val="center"/>
          </w:tcPr>
          <w:p w:rsidR="000B57EA" w:rsidRPr="007E0FD6" w:rsidRDefault="000B57EA" w:rsidP="00F91C5C">
            <w:pPr>
              <w:snapToGrid w:val="0"/>
              <w:spacing w:line="300" w:lineRule="exact"/>
              <w:rPr>
                <w:rFonts w:eastAsia="仿宋_GB2312"/>
                <w:sz w:val="24"/>
              </w:rPr>
            </w:pPr>
            <w:r w:rsidRPr="007E0FD6">
              <w:rPr>
                <w:rFonts w:eastAsia="仿宋_GB2312"/>
                <w:sz w:val="24"/>
              </w:rPr>
              <w:t>市交通运输委</w:t>
            </w:r>
          </w:p>
        </w:tc>
        <w:tc>
          <w:tcPr>
            <w:tcW w:w="1279" w:type="dxa"/>
            <w:vAlign w:val="center"/>
          </w:tcPr>
          <w:p w:rsidR="000B57EA" w:rsidRPr="007E0FD6" w:rsidRDefault="000B57EA" w:rsidP="00F91C5C">
            <w:pPr>
              <w:widowControl/>
              <w:snapToGrid w:val="0"/>
              <w:spacing w:line="300" w:lineRule="exact"/>
              <w:rPr>
                <w:rFonts w:eastAsia="仿宋_GB2312"/>
                <w:sz w:val="24"/>
              </w:rPr>
            </w:pPr>
            <w:r w:rsidRPr="007E0FD6">
              <w:rPr>
                <w:rFonts w:eastAsia="仿宋_GB2312"/>
                <w:sz w:val="24"/>
              </w:rPr>
              <w:t>《中华人民共和国国际海运条例》</w:t>
            </w:r>
          </w:p>
        </w:tc>
        <w:tc>
          <w:tcPr>
            <w:tcW w:w="4016" w:type="dxa"/>
            <w:vAlign w:val="center"/>
          </w:tcPr>
          <w:p w:rsidR="000B57EA" w:rsidRPr="007E0FD6" w:rsidRDefault="000B57EA" w:rsidP="00F91C5C">
            <w:pPr>
              <w:widowControl/>
              <w:snapToGrid w:val="0"/>
              <w:spacing w:line="280" w:lineRule="exact"/>
              <w:rPr>
                <w:rFonts w:eastAsia="仿宋_GB2312"/>
                <w:sz w:val="24"/>
              </w:rPr>
            </w:pPr>
            <w:r w:rsidRPr="007E0FD6">
              <w:rPr>
                <w:rFonts w:eastAsia="仿宋_GB2312"/>
                <w:sz w:val="24"/>
              </w:rPr>
              <w:t>取消审批后，交通运输部要通过以下措施加强事中事后监管：</w:t>
            </w:r>
            <w:r w:rsidRPr="007E0FD6">
              <w:rPr>
                <w:rFonts w:eastAsia="仿宋_GB2312"/>
                <w:sz w:val="24"/>
              </w:rPr>
              <w:t>1</w:t>
            </w:r>
            <w:r w:rsidRPr="007E0FD6">
              <w:rPr>
                <w:rFonts w:eastAsia="仿宋_GB2312"/>
                <w:sz w:val="24"/>
              </w:rPr>
              <w:t>．建立国际普通货船运输业务的备案和信用管理制度，要求有关企业主动备案，建立企业信用档案并向全社会公开信用记录，对失信企业实行联合惩戒。</w:t>
            </w:r>
            <w:r w:rsidRPr="007E0FD6">
              <w:rPr>
                <w:rFonts w:eastAsia="仿宋_GB2312"/>
                <w:sz w:val="24"/>
              </w:rPr>
              <w:t>2</w:t>
            </w:r>
            <w:r w:rsidRPr="007E0FD6">
              <w:rPr>
                <w:rFonts w:eastAsia="仿宋_GB2312"/>
                <w:sz w:val="24"/>
              </w:rPr>
              <w:t>．优化对国际班轮运输集装箱业务的审批服务，加强事中事后监管。</w:t>
            </w:r>
            <w:r w:rsidRPr="007E0FD6">
              <w:rPr>
                <w:rFonts w:eastAsia="仿宋_GB2312"/>
                <w:sz w:val="24"/>
              </w:rPr>
              <w:t>3</w:t>
            </w:r>
            <w:r w:rsidRPr="007E0FD6">
              <w:rPr>
                <w:rFonts w:eastAsia="仿宋_GB2312"/>
                <w:sz w:val="24"/>
              </w:rPr>
              <w:t>．支持行业协会发挥自律作用，维护市场经营秩序。</w:t>
            </w:r>
          </w:p>
        </w:tc>
        <w:tc>
          <w:tcPr>
            <w:tcW w:w="1521" w:type="dxa"/>
            <w:vAlign w:val="center"/>
          </w:tcPr>
          <w:p w:rsidR="000B57EA" w:rsidRPr="007E0FD6" w:rsidRDefault="000B57EA" w:rsidP="00F91C5C">
            <w:pPr>
              <w:snapToGrid w:val="0"/>
              <w:spacing w:line="280" w:lineRule="exact"/>
              <w:rPr>
                <w:rFonts w:ascii="仿宋_GB2312" w:eastAsia="仿宋_GB2312" w:hint="eastAsia"/>
                <w:sz w:val="24"/>
              </w:rPr>
            </w:pPr>
            <w:r w:rsidRPr="007E0FD6">
              <w:rPr>
                <w:rFonts w:ascii="仿宋_GB2312" w:eastAsia="仿宋_GB2312" w:hint="eastAsia"/>
                <w:sz w:val="24"/>
              </w:rPr>
              <w:t>对应取消天津市市级初审上报国家部委审批行政许可事项“经营国际船舶运输业务审批”的两种情形，原事项名称不变。</w:t>
            </w:r>
          </w:p>
        </w:tc>
      </w:tr>
      <w:tr w:rsidR="000B57EA" w:rsidRPr="007E0FD6" w:rsidTr="00F91C5C">
        <w:trPr>
          <w:cantSplit/>
          <w:trHeight w:val="4675"/>
          <w:jc w:val="center"/>
        </w:trPr>
        <w:tc>
          <w:tcPr>
            <w:tcW w:w="746" w:type="dxa"/>
            <w:vAlign w:val="center"/>
          </w:tcPr>
          <w:p w:rsidR="000B57EA" w:rsidRPr="007E0FD6" w:rsidRDefault="000B57EA" w:rsidP="00F91C5C">
            <w:pPr>
              <w:snapToGrid w:val="0"/>
              <w:spacing w:line="300" w:lineRule="exact"/>
              <w:jc w:val="center"/>
              <w:rPr>
                <w:rFonts w:eastAsia="仿宋_GB2312"/>
                <w:sz w:val="24"/>
              </w:rPr>
            </w:pPr>
            <w:r w:rsidRPr="007E0FD6">
              <w:rPr>
                <w:rFonts w:eastAsia="仿宋_GB2312"/>
                <w:sz w:val="24"/>
              </w:rPr>
              <w:t>4</w:t>
            </w:r>
          </w:p>
        </w:tc>
        <w:tc>
          <w:tcPr>
            <w:tcW w:w="1264" w:type="dxa"/>
            <w:vAlign w:val="center"/>
          </w:tcPr>
          <w:p w:rsidR="000B57EA" w:rsidRPr="007E0FD6" w:rsidRDefault="000B57EA" w:rsidP="00F91C5C">
            <w:pPr>
              <w:snapToGrid w:val="0"/>
              <w:spacing w:line="360" w:lineRule="exact"/>
              <w:rPr>
                <w:rFonts w:eastAsia="仿宋_GB2312"/>
                <w:sz w:val="24"/>
              </w:rPr>
            </w:pPr>
            <w:r w:rsidRPr="007E0FD6">
              <w:rPr>
                <w:rFonts w:eastAsia="仿宋_GB2312"/>
                <w:sz w:val="24"/>
              </w:rPr>
              <w:t>从事内地与港澳间集装箱船、普通货船运输业务许可</w:t>
            </w:r>
          </w:p>
        </w:tc>
        <w:tc>
          <w:tcPr>
            <w:tcW w:w="1146" w:type="dxa"/>
            <w:vAlign w:val="center"/>
          </w:tcPr>
          <w:p w:rsidR="000B57EA" w:rsidRPr="007E0FD6" w:rsidRDefault="000B57EA" w:rsidP="00F91C5C">
            <w:pPr>
              <w:snapToGrid w:val="0"/>
              <w:spacing w:line="360" w:lineRule="exact"/>
              <w:rPr>
                <w:rFonts w:eastAsia="仿宋_GB2312"/>
                <w:sz w:val="24"/>
              </w:rPr>
            </w:pPr>
            <w:r w:rsidRPr="007E0FD6">
              <w:rPr>
                <w:rFonts w:eastAsia="仿宋_GB2312"/>
                <w:sz w:val="24"/>
              </w:rPr>
              <w:t>市交通运输委</w:t>
            </w:r>
          </w:p>
        </w:tc>
        <w:tc>
          <w:tcPr>
            <w:tcW w:w="1279" w:type="dxa"/>
            <w:vAlign w:val="center"/>
          </w:tcPr>
          <w:p w:rsidR="000B57EA" w:rsidRPr="007E0FD6" w:rsidRDefault="000B57EA" w:rsidP="00F91C5C">
            <w:pPr>
              <w:widowControl/>
              <w:snapToGrid w:val="0"/>
              <w:spacing w:line="360" w:lineRule="exact"/>
              <w:rPr>
                <w:rFonts w:eastAsia="仿宋_GB2312"/>
                <w:sz w:val="24"/>
              </w:rPr>
            </w:pPr>
            <w:r w:rsidRPr="007E0FD6">
              <w:rPr>
                <w:rFonts w:eastAsia="仿宋_GB2312"/>
                <w:sz w:val="24"/>
              </w:rPr>
              <w:t>《国务院对确需保留的行政审批项目设定行政许可的决定》</w:t>
            </w:r>
          </w:p>
        </w:tc>
        <w:tc>
          <w:tcPr>
            <w:tcW w:w="4016" w:type="dxa"/>
            <w:vAlign w:val="center"/>
          </w:tcPr>
          <w:p w:rsidR="000B57EA" w:rsidRPr="007E0FD6" w:rsidRDefault="000B57EA" w:rsidP="00F91C5C">
            <w:pPr>
              <w:widowControl/>
              <w:snapToGrid w:val="0"/>
              <w:spacing w:line="380" w:lineRule="exact"/>
              <w:rPr>
                <w:rFonts w:eastAsia="仿宋_GB2312"/>
                <w:sz w:val="24"/>
              </w:rPr>
            </w:pPr>
            <w:r w:rsidRPr="007E0FD6">
              <w:rPr>
                <w:rFonts w:eastAsia="仿宋_GB2312"/>
                <w:sz w:val="24"/>
              </w:rPr>
              <w:t>取消审批后，改为备案。交通运输部要会同有关部门通过以下措施加强事中事后监管：</w:t>
            </w:r>
            <w:r w:rsidRPr="007E0FD6">
              <w:rPr>
                <w:rFonts w:eastAsia="仿宋_GB2312"/>
                <w:sz w:val="24"/>
              </w:rPr>
              <w:t>1</w:t>
            </w:r>
            <w:r w:rsidRPr="007E0FD6">
              <w:rPr>
                <w:rFonts w:eastAsia="仿宋_GB2312"/>
                <w:sz w:val="24"/>
              </w:rPr>
              <w:t>．建立内地与港澳间集装箱船、普通货船运输业务的备案和信用管理制度，要求有关企业向</w:t>
            </w:r>
            <w:proofErr w:type="gramStart"/>
            <w:r w:rsidRPr="007E0FD6">
              <w:rPr>
                <w:rFonts w:eastAsia="仿宋_GB2312"/>
                <w:sz w:val="24"/>
              </w:rPr>
              <w:t>省级交通</w:t>
            </w:r>
            <w:proofErr w:type="gramEnd"/>
            <w:r w:rsidRPr="007E0FD6">
              <w:rPr>
                <w:rFonts w:eastAsia="仿宋_GB2312"/>
                <w:sz w:val="24"/>
              </w:rPr>
              <w:t>运输部门办理备案，建立企业信用档案并向全社会公开企业信用记录，对失信企业实行联合惩戒。</w:t>
            </w:r>
            <w:r w:rsidRPr="007E0FD6">
              <w:rPr>
                <w:rFonts w:eastAsia="仿宋_GB2312"/>
                <w:sz w:val="24"/>
              </w:rPr>
              <w:t>2</w:t>
            </w:r>
            <w:r w:rsidRPr="007E0FD6">
              <w:rPr>
                <w:rFonts w:eastAsia="仿宋_GB2312"/>
                <w:sz w:val="24"/>
              </w:rPr>
              <w:t>．交通运输部</w:t>
            </w:r>
            <w:proofErr w:type="gramStart"/>
            <w:r w:rsidRPr="007E0FD6">
              <w:rPr>
                <w:rFonts w:eastAsia="仿宋_GB2312"/>
                <w:sz w:val="24"/>
              </w:rPr>
              <w:t>归集内地</w:t>
            </w:r>
            <w:proofErr w:type="gramEnd"/>
            <w:r w:rsidRPr="007E0FD6">
              <w:rPr>
                <w:rFonts w:eastAsia="仿宋_GB2312"/>
                <w:sz w:val="24"/>
              </w:rPr>
              <w:t>与港澳间航运船舶信息，并根据需要向海关总署提供，海关加强后续监管。</w:t>
            </w:r>
            <w:r w:rsidRPr="007E0FD6">
              <w:rPr>
                <w:rFonts w:eastAsia="仿宋_GB2312"/>
                <w:sz w:val="24"/>
              </w:rPr>
              <w:t>3</w:t>
            </w:r>
            <w:r w:rsidRPr="007E0FD6">
              <w:rPr>
                <w:rFonts w:eastAsia="仿宋_GB2312"/>
                <w:sz w:val="24"/>
              </w:rPr>
              <w:t>．支持行业协会发挥自律作用，维护市场经营秩序。</w:t>
            </w:r>
          </w:p>
        </w:tc>
        <w:tc>
          <w:tcPr>
            <w:tcW w:w="1521" w:type="dxa"/>
            <w:vAlign w:val="center"/>
          </w:tcPr>
          <w:p w:rsidR="000B57EA" w:rsidRPr="007E0FD6" w:rsidRDefault="000B57EA" w:rsidP="00F91C5C">
            <w:pPr>
              <w:snapToGrid w:val="0"/>
              <w:spacing w:line="380" w:lineRule="exact"/>
              <w:rPr>
                <w:rFonts w:ascii="仿宋_GB2312" w:eastAsia="仿宋_GB2312" w:hint="eastAsia"/>
                <w:sz w:val="24"/>
              </w:rPr>
            </w:pPr>
            <w:r w:rsidRPr="007E0FD6">
              <w:rPr>
                <w:rFonts w:ascii="仿宋_GB2312" w:eastAsia="仿宋_GB2312" w:hint="eastAsia"/>
                <w:sz w:val="24"/>
              </w:rPr>
              <w:t>对应取消天津市市级初审上报国家部委审批行政许可事项“从事内地与港澳间海上运输业务许可”的一种情形，原事项名称不变。</w:t>
            </w:r>
          </w:p>
        </w:tc>
      </w:tr>
      <w:tr w:rsidR="000B57EA" w:rsidRPr="007E0FD6" w:rsidTr="00F91C5C">
        <w:trPr>
          <w:cantSplit/>
          <w:trHeight w:val="3095"/>
          <w:jc w:val="center"/>
        </w:trPr>
        <w:tc>
          <w:tcPr>
            <w:tcW w:w="746" w:type="dxa"/>
            <w:vAlign w:val="center"/>
          </w:tcPr>
          <w:p w:rsidR="000B57EA" w:rsidRPr="007E0FD6" w:rsidRDefault="000B57EA" w:rsidP="00F91C5C">
            <w:pPr>
              <w:snapToGrid w:val="0"/>
              <w:spacing w:line="300" w:lineRule="exact"/>
              <w:jc w:val="center"/>
              <w:rPr>
                <w:rFonts w:eastAsia="仿宋_GB2312"/>
                <w:sz w:val="24"/>
              </w:rPr>
            </w:pPr>
            <w:r w:rsidRPr="007E0FD6">
              <w:rPr>
                <w:rFonts w:eastAsia="仿宋_GB2312"/>
                <w:sz w:val="24"/>
              </w:rPr>
              <w:t>5</w:t>
            </w:r>
          </w:p>
        </w:tc>
        <w:tc>
          <w:tcPr>
            <w:tcW w:w="1264" w:type="dxa"/>
            <w:vAlign w:val="center"/>
          </w:tcPr>
          <w:p w:rsidR="000B57EA" w:rsidRPr="007E0FD6" w:rsidRDefault="000B57EA" w:rsidP="00F91C5C">
            <w:pPr>
              <w:snapToGrid w:val="0"/>
              <w:spacing w:line="360" w:lineRule="exact"/>
              <w:rPr>
                <w:rFonts w:eastAsia="仿宋_GB2312"/>
                <w:sz w:val="24"/>
              </w:rPr>
            </w:pPr>
            <w:r w:rsidRPr="007E0FD6">
              <w:rPr>
                <w:rFonts w:eastAsia="仿宋_GB2312"/>
                <w:sz w:val="24"/>
              </w:rPr>
              <w:t>无船承运业务审批</w:t>
            </w:r>
          </w:p>
        </w:tc>
        <w:tc>
          <w:tcPr>
            <w:tcW w:w="1146" w:type="dxa"/>
            <w:vAlign w:val="center"/>
          </w:tcPr>
          <w:p w:rsidR="000B57EA" w:rsidRPr="007E0FD6" w:rsidRDefault="000B57EA" w:rsidP="00F91C5C">
            <w:pPr>
              <w:snapToGrid w:val="0"/>
              <w:spacing w:line="360" w:lineRule="exact"/>
              <w:rPr>
                <w:rFonts w:eastAsia="仿宋_GB2312"/>
                <w:sz w:val="24"/>
              </w:rPr>
            </w:pPr>
            <w:r w:rsidRPr="007E0FD6">
              <w:rPr>
                <w:rFonts w:eastAsia="仿宋_GB2312"/>
                <w:sz w:val="24"/>
              </w:rPr>
              <w:t>市交通运输委</w:t>
            </w:r>
          </w:p>
        </w:tc>
        <w:tc>
          <w:tcPr>
            <w:tcW w:w="1279" w:type="dxa"/>
            <w:vAlign w:val="center"/>
          </w:tcPr>
          <w:p w:rsidR="000B57EA" w:rsidRPr="007E0FD6" w:rsidRDefault="000B57EA" w:rsidP="00F91C5C">
            <w:pPr>
              <w:widowControl/>
              <w:snapToGrid w:val="0"/>
              <w:spacing w:line="360" w:lineRule="exact"/>
              <w:rPr>
                <w:rFonts w:eastAsia="仿宋_GB2312"/>
                <w:sz w:val="24"/>
              </w:rPr>
            </w:pPr>
            <w:r w:rsidRPr="007E0FD6">
              <w:rPr>
                <w:rFonts w:eastAsia="仿宋_GB2312"/>
                <w:sz w:val="24"/>
              </w:rPr>
              <w:t>《中华人民共和国国际海运条例》</w:t>
            </w:r>
          </w:p>
        </w:tc>
        <w:tc>
          <w:tcPr>
            <w:tcW w:w="4016" w:type="dxa"/>
            <w:vAlign w:val="center"/>
          </w:tcPr>
          <w:p w:rsidR="000B57EA" w:rsidRPr="007E0FD6" w:rsidRDefault="000B57EA" w:rsidP="00F91C5C">
            <w:pPr>
              <w:widowControl/>
              <w:snapToGrid w:val="0"/>
              <w:spacing w:line="380" w:lineRule="exact"/>
              <w:rPr>
                <w:rFonts w:eastAsia="仿宋_GB2312"/>
                <w:sz w:val="24"/>
              </w:rPr>
            </w:pPr>
            <w:r w:rsidRPr="007E0FD6">
              <w:rPr>
                <w:rFonts w:eastAsia="仿宋_GB2312"/>
                <w:sz w:val="24"/>
              </w:rPr>
              <w:t>取消审批后，改为备案。交通运输部要通过以下措施加强事中事后监管：</w:t>
            </w:r>
            <w:r w:rsidRPr="007E0FD6">
              <w:rPr>
                <w:rFonts w:eastAsia="仿宋_GB2312"/>
                <w:sz w:val="24"/>
              </w:rPr>
              <w:t>1</w:t>
            </w:r>
            <w:r w:rsidRPr="007E0FD6">
              <w:rPr>
                <w:rFonts w:eastAsia="仿宋_GB2312"/>
                <w:sz w:val="24"/>
              </w:rPr>
              <w:t>．</w:t>
            </w:r>
            <w:r w:rsidRPr="001C042D">
              <w:rPr>
                <w:rFonts w:eastAsia="仿宋_GB2312"/>
                <w:spacing w:val="-2"/>
                <w:sz w:val="24"/>
              </w:rPr>
              <w:t>建立无船承运人的备案和信用管理制度，及时向全社会公开信用记录，建立失信企业联合惩戒机制。</w:t>
            </w:r>
            <w:r w:rsidRPr="001C042D">
              <w:rPr>
                <w:rFonts w:eastAsia="仿宋_GB2312"/>
                <w:spacing w:val="-2"/>
                <w:sz w:val="24"/>
              </w:rPr>
              <w:t>2</w:t>
            </w:r>
            <w:r w:rsidRPr="001C042D">
              <w:rPr>
                <w:rFonts w:eastAsia="仿宋_GB2312"/>
                <w:spacing w:val="-2"/>
                <w:sz w:val="24"/>
              </w:rPr>
              <w:t>．通过</w:t>
            </w:r>
            <w:r w:rsidRPr="001C042D">
              <w:rPr>
                <w:rFonts w:ascii="仿宋_GB2312" w:eastAsia="仿宋_GB2312" w:hint="eastAsia"/>
                <w:spacing w:val="-2"/>
                <w:sz w:val="24"/>
              </w:rPr>
              <w:t>“双随机、</w:t>
            </w:r>
            <w:proofErr w:type="gramStart"/>
            <w:r w:rsidRPr="001C042D">
              <w:rPr>
                <w:rFonts w:ascii="仿宋_GB2312" w:eastAsia="仿宋_GB2312" w:hint="eastAsia"/>
                <w:spacing w:val="-2"/>
                <w:sz w:val="24"/>
              </w:rPr>
              <w:t>一</w:t>
            </w:r>
            <w:proofErr w:type="gramEnd"/>
            <w:r w:rsidRPr="001C042D">
              <w:rPr>
                <w:rFonts w:ascii="仿宋_GB2312" w:eastAsia="仿宋_GB2312" w:hint="eastAsia"/>
                <w:spacing w:val="-2"/>
                <w:sz w:val="24"/>
              </w:rPr>
              <w:t>公开”</w:t>
            </w:r>
            <w:r w:rsidRPr="001C042D">
              <w:rPr>
                <w:rFonts w:eastAsia="仿宋_GB2312"/>
                <w:spacing w:val="-2"/>
                <w:sz w:val="24"/>
              </w:rPr>
              <w:t>监管等方式，加强对无船承运市场的监管。</w:t>
            </w:r>
            <w:r w:rsidRPr="001C042D">
              <w:rPr>
                <w:rFonts w:eastAsia="仿宋_GB2312"/>
                <w:spacing w:val="-2"/>
                <w:sz w:val="24"/>
              </w:rPr>
              <w:t>3</w:t>
            </w:r>
            <w:r w:rsidRPr="001C042D">
              <w:rPr>
                <w:rFonts w:eastAsia="仿宋_GB2312"/>
                <w:spacing w:val="-2"/>
                <w:sz w:val="24"/>
              </w:rPr>
              <w:t>．支持行业协会发挥自律作用，维护市场经营</w:t>
            </w:r>
            <w:r w:rsidRPr="007E0FD6">
              <w:rPr>
                <w:rFonts w:eastAsia="仿宋_GB2312"/>
                <w:sz w:val="24"/>
              </w:rPr>
              <w:t>秩序。</w:t>
            </w:r>
          </w:p>
        </w:tc>
        <w:tc>
          <w:tcPr>
            <w:tcW w:w="1521" w:type="dxa"/>
            <w:vAlign w:val="center"/>
          </w:tcPr>
          <w:p w:rsidR="000B57EA" w:rsidRPr="007E0FD6" w:rsidRDefault="000B57EA" w:rsidP="00F91C5C">
            <w:pPr>
              <w:snapToGrid w:val="0"/>
              <w:spacing w:line="380" w:lineRule="exact"/>
              <w:rPr>
                <w:rFonts w:ascii="仿宋_GB2312" w:eastAsia="仿宋_GB2312" w:hint="eastAsia"/>
                <w:sz w:val="24"/>
              </w:rPr>
            </w:pPr>
            <w:r w:rsidRPr="007E0FD6">
              <w:rPr>
                <w:rFonts w:ascii="仿宋_GB2312" w:eastAsia="仿宋_GB2312" w:hint="eastAsia"/>
                <w:sz w:val="24"/>
              </w:rPr>
              <w:t>对应取消天津市市级初审上报国家部委审批行政许可事项“经营无船承运业务资格登记”。</w:t>
            </w:r>
          </w:p>
        </w:tc>
      </w:tr>
      <w:tr w:rsidR="000B57EA" w:rsidRPr="007E0FD6" w:rsidTr="00F91C5C">
        <w:trPr>
          <w:cantSplit/>
          <w:trHeight w:val="4286"/>
          <w:jc w:val="center"/>
        </w:trPr>
        <w:tc>
          <w:tcPr>
            <w:tcW w:w="746" w:type="dxa"/>
            <w:vAlign w:val="center"/>
          </w:tcPr>
          <w:p w:rsidR="000B57EA" w:rsidRPr="007E0FD6" w:rsidRDefault="000B57EA" w:rsidP="00F91C5C">
            <w:pPr>
              <w:snapToGrid w:val="0"/>
              <w:spacing w:line="300" w:lineRule="exact"/>
              <w:jc w:val="center"/>
              <w:rPr>
                <w:rFonts w:eastAsia="仿宋_GB2312"/>
                <w:sz w:val="24"/>
              </w:rPr>
            </w:pPr>
            <w:r w:rsidRPr="007E0FD6">
              <w:rPr>
                <w:rFonts w:eastAsia="仿宋_GB2312"/>
                <w:sz w:val="24"/>
              </w:rPr>
              <w:lastRenderedPageBreak/>
              <w:t>6</w:t>
            </w:r>
          </w:p>
        </w:tc>
        <w:tc>
          <w:tcPr>
            <w:tcW w:w="1264" w:type="dxa"/>
            <w:vAlign w:val="center"/>
          </w:tcPr>
          <w:p w:rsidR="000B57EA" w:rsidRPr="007E0FD6" w:rsidRDefault="000B57EA" w:rsidP="00F91C5C">
            <w:pPr>
              <w:snapToGrid w:val="0"/>
              <w:spacing w:line="360" w:lineRule="exact"/>
              <w:rPr>
                <w:rFonts w:eastAsia="仿宋_GB2312"/>
                <w:sz w:val="24"/>
              </w:rPr>
            </w:pPr>
            <w:r w:rsidRPr="007E0FD6">
              <w:rPr>
                <w:rFonts w:eastAsia="仿宋_GB2312"/>
                <w:sz w:val="24"/>
              </w:rPr>
              <w:t>船员服务</w:t>
            </w:r>
            <w:proofErr w:type="gramStart"/>
            <w:r w:rsidRPr="007E0FD6">
              <w:rPr>
                <w:rFonts w:eastAsia="仿宋_GB2312"/>
                <w:sz w:val="24"/>
              </w:rPr>
              <w:t>簿</w:t>
            </w:r>
            <w:proofErr w:type="gramEnd"/>
            <w:r w:rsidRPr="007E0FD6">
              <w:rPr>
                <w:rFonts w:eastAsia="仿宋_GB2312"/>
                <w:sz w:val="24"/>
              </w:rPr>
              <w:t>签发</w:t>
            </w:r>
          </w:p>
        </w:tc>
        <w:tc>
          <w:tcPr>
            <w:tcW w:w="1146" w:type="dxa"/>
            <w:vAlign w:val="center"/>
          </w:tcPr>
          <w:p w:rsidR="000B57EA" w:rsidRPr="007E0FD6" w:rsidRDefault="000B57EA" w:rsidP="00F91C5C">
            <w:pPr>
              <w:snapToGrid w:val="0"/>
              <w:spacing w:line="360" w:lineRule="exact"/>
              <w:rPr>
                <w:rFonts w:eastAsia="仿宋_GB2312"/>
                <w:sz w:val="24"/>
              </w:rPr>
            </w:pPr>
            <w:r w:rsidRPr="007E0FD6">
              <w:rPr>
                <w:rFonts w:eastAsia="仿宋_GB2312"/>
                <w:sz w:val="24"/>
              </w:rPr>
              <w:t>市交通运输委</w:t>
            </w:r>
            <w:r>
              <w:rPr>
                <w:rFonts w:eastAsia="仿宋_GB2312" w:hint="eastAsia"/>
                <w:sz w:val="24"/>
              </w:rPr>
              <w:t>，</w:t>
            </w:r>
            <w:r w:rsidRPr="007E0FD6">
              <w:rPr>
                <w:rFonts w:eastAsia="仿宋_GB2312"/>
                <w:sz w:val="24"/>
              </w:rPr>
              <w:br w:type="page"/>
            </w:r>
            <w:r w:rsidRPr="007E0FD6">
              <w:rPr>
                <w:rFonts w:eastAsia="仿宋_GB2312"/>
                <w:sz w:val="24"/>
              </w:rPr>
              <w:t>滨海新区、</w:t>
            </w:r>
            <w:proofErr w:type="gramStart"/>
            <w:r w:rsidRPr="007E0FD6">
              <w:rPr>
                <w:rFonts w:eastAsia="仿宋_GB2312"/>
                <w:sz w:val="24"/>
              </w:rPr>
              <w:t>环城四</w:t>
            </w:r>
            <w:proofErr w:type="gramEnd"/>
            <w:r w:rsidRPr="007E0FD6">
              <w:rPr>
                <w:rFonts w:eastAsia="仿宋_GB2312"/>
                <w:sz w:val="24"/>
              </w:rPr>
              <w:t>区和武清区、宝坻区、宁河区、静海区、</w:t>
            </w:r>
            <w:proofErr w:type="gramStart"/>
            <w:r w:rsidRPr="007E0FD6">
              <w:rPr>
                <w:rFonts w:eastAsia="仿宋_GB2312"/>
                <w:sz w:val="24"/>
              </w:rPr>
              <w:t>蓟</w:t>
            </w:r>
            <w:proofErr w:type="gramEnd"/>
            <w:r w:rsidRPr="007E0FD6">
              <w:rPr>
                <w:rFonts w:eastAsia="仿宋_GB2312"/>
                <w:sz w:val="24"/>
              </w:rPr>
              <w:t>州区政务服务办</w:t>
            </w:r>
          </w:p>
        </w:tc>
        <w:tc>
          <w:tcPr>
            <w:tcW w:w="1279" w:type="dxa"/>
            <w:vAlign w:val="center"/>
          </w:tcPr>
          <w:p w:rsidR="000B57EA" w:rsidRPr="007E0FD6" w:rsidRDefault="000B57EA" w:rsidP="00F91C5C">
            <w:pPr>
              <w:widowControl/>
              <w:snapToGrid w:val="0"/>
              <w:spacing w:line="360" w:lineRule="exact"/>
              <w:rPr>
                <w:rFonts w:eastAsia="仿宋_GB2312"/>
                <w:sz w:val="24"/>
              </w:rPr>
            </w:pPr>
            <w:r w:rsidRPr="007E0FD6">
              <w:rPr>
                <w:rFonts w:eastAsia="仿宋_GB2312"/>
                <w:sz w:val="24"/>
              </w:rPr>
              <w:t>《中华人民共和国船员条例》</w:t>
            </w:r>
          </w:p>
        </w:tc>
        <w:tc>
          <w:tcPr>
            <w:tcW w:w="4016" w:type="dxa"/>
            <w:vAlign w:val="center"/>
          </w:tcPr>
          <w:p w:rsidR="000B57EA" w:rsidRPr="007E0FD6" w:rsidRDefault="000B57EA" w:rsidP="00F91C5C">
            <w:pPr>
              <w:widowControl/>
              <w:snapToGrid w:val="0"/>
              <w:spacing w:line="380" w:lineRule="exact"/>
              <w:rPr>
                <w:rFonts w:eastAsia="仿宋_GB2312"/>
                <w:sz w:val="24"/>
              </w:rPr>
            </w:pPr>
            <w:r w:rsidRPr="007E0FD6">
              <w:rPr>
                <w:rFonts w:eastAsia="仿宋_GB2312"/>
                <w:sz w:val="24"/>
              </w:rPr>
              <w:t>取消审批后，对通过船员适任证书核发审查的船员直接发放《船员服务簿》。交通运输部要通过以下措施优化服务、加强事中事后监管：</w:t>
            </w:r>
            <w:r w:rsidRPr="007E0FD6">
              <w:rPr>
                <w:rFonts w:eastAsia="仿宋_GB2312"/>
                <w:sz w:val="24"/>
              </w:rPr>
              <w:t>1</w:t>
            </w:r>
            <w:r w:rsidRPr="007E0FD6">
              <w:rPr>
                <w:rFonts w:eastAsia="仿宋_GB2312"/>
                <w:sz w:val="24"/>
              </w:rPr>
              <w:t>．将厨师、服务员等不参加航行值班的船员纳入船员适任证书核发申请人员范围，并优化服务，方便船员办事。</w:t>
            </w:r>
            <w:r w:rsidRPr="007E0FD6">
              <w:rPr>
                <w:rFonts w:eastAsia="仿宋_GB2312"/>
                <w:sz w:val="24"/>
              </w:rPr>
              <w:t>2</w:t>
            </w:r>
            <w:r w:rsidRPr="007E0FD6">
              <w:rPr>
                <w:rFonts w:eastAsia="仿宋_GB2312"/>
                <w:sz w:val="24"/>
              </w:rPr>
              <w:t>．新的《船员服务簿》作为船员个人持有的法定文书，主要承载船员档案功能，记录船员履职情况。</w:t>
            </w:r>
          </w:p>
        </w:tc>
        <w:tc>
          <w:tcPr>
            <w:tcW w:w="1521" w:type="dxa"/>
            <w:vAlign w:val="center"/>
          </w:tcPr>
          <w:p w:rsidR="000B57EA" w:rsidRPr="007E0FD6" w:rsidRDefault="000B57EA" w:rsidP="00F91C5C">
            <w:pPr>
              <w:snapToGrid w:val="0"/>
              <w:spacing w:line="380" w:lineRule="exact"/>
              <w:rPr>
                <w:rFonts w:ascii="仿宋_GB2312" w:eastAsia="仿宋_GB2312" w:hint="eastAsia"/>
                <w:sz w:val="24"/>
              </w:rPr>
            </w:pPr>
            <w:r w:rsidRPr="007E0FD6">
              <w:rPr>
                <w:rFonts w:ascii="仿宋_GB2312" w:eastAsia="仿宋_GB2312" w:hint="eastAsia"/>
                <w:sz w:val="24"/>
              </w:rPr>
              <w:t>对应取消天津市市级现行实施、滨海新区和</w:t>
            </w:r>
            <w:r w:rsidRPr="00874553">
              <w:rPr>
                <w:rFonts w:ascii="仿宋_GB2312" w:eastAsia="仿宋_GB2312" w:hint="eastAsia"/>
                <w:sz w:val="24"/>
              </w:rPr>
              <w:t>郊区</w:t>
            </w:r>
            <w:r w:rsidRPr="007E0FD6">
              <w:rPr>
                <w:rFonts w:ascii="仿宋_GB2312" w:eastAsia="仿宋_GB2312" w:hint="eastAsia"/>
                <w:sz w:val="24"/>
              </w:rPr>
              <w:t>初审上报市级部门</w:t>
            </w:r>
            <w:r>
              <w:rPr>
                <w:rFonts w:ascii="仿宋_GB2312" w:eastAsia="仿宋_GB2312" w:hint="eastAsia"/>
                <w:sz w:val="24"/>
              </w:rPr>
              <w:t>审批</w:t>
            </w:r>
            <w:r w:rsidRPr="007E0FD6">
              <w:rPr>
                <w:rFonts w:ascii="仿宋_GB2312" w:eastAsia="仿宋_GB2312" w:hint="eastAsia"/>
                <w:sz w:val="24"/>
              </w:rPr>
              <w:t>行政许可事项“船员适任证书核发”的子项“船员服务</w:t>
            </w:r>
            <w:proofErr w:type="gramStart"/>
            <w:r w:rsidRPr="007E0FD6">
              <w:rPr>
                <w:rFonts w:ascii="仿宋_GB2312" w:eastAsia="仿宋_GB2312" w:hint="eastAsia"/>
                <w:sz w:val="24"/>
              </w:rPr>
              <w:t>簿</w:t>
            </w:r>
            <w:proofErr w:type="gramEnd"/>
            <w:r w:rsidRPr="007E0FD6">
              <w:rPr>
                <w:rFonts w:ascii="仿宋_GB2312" w:eastAsia="仿宋_GB2312" w:hint="eastAsia"/>
                <w:sz w:val="24"/>
              </w:rPr>
              <w:t>签发”。</w:t>
            </w:r>
          </w:p>
        </w:tc>
      </w:tr>
      <w:tr w:rsidR="000B57EA" w:rsidRPr="007E0FD6" w:rsidTr="00F91C5C">
        <w:trPr>
          <w:cantSplit/>
          <w:trHeight w:val="5667"/>
          <w:jc w:val="center"/>
        </w:trPr>
        <w:tc>
          <w:tcPr>
            <w:tcW w:w="746" w:type="dxa"/>
            <w:vAlign w:val="center"/>
          </w:tcPr>
          <w:p w:rsidR="000B57EA" w:rsidRPr="007E0FD6" w:rsidRDefault="000B57EA" w:rsidP="00F91C5C">
            <w:pPr>
              <w:snapToGrid w:val="0"/>
              <w:spacing w:line="300" w:lineRule="exact"/>
              <w:jc w:val="center"/>
              <w:rPr>
                <w:rFonts w:eastAsia="仿宋_GB2312"/>
                <w:sz w:val="24"/>
              </w:rPr>
            </w:pPr>
            <w:r w:rsidRPr="007E0FD6">
              <w:rPr>
                <w:rFonts w:eastAsia="仿宋_GB2312"/>
                <w:sz w:val="24"/>
              </w:rPr>
              <w:t>7</w:t>
            </w:r>
          </w:p>
        </w:tc>
        <w:tc>
          <w:tcPr>
            <w:tcW w:w="1264" w:type="dxa"/>
            <w:vAlign w:val="center"/>
          </w:tcPr>
          <w:p w:rsidR="000B57EA" w:rsidRPr="007E0FD6" w:rsidRDefault="000B57EA" w:rsidP="00F91C5C">
            <w:pPr>
              <w:widowControl/>
              <w:snapToGrid w:val="0"/>
              <w:spacing w:line="360" w:lineRule="exact"/>
              <w:rPr>
                <w:rFonts w:eastAsia="仿宋_GB2312"/>
                <w:sz w:val="24"/>
              </w:rPr>
            </w:pPr>
            <w:r w:rsidRPr="007E0FD6">
              <w:rPr>
                <w:rFonts w:eastAsia="仿宋_GB2312"/>
                <w:sz w:val="24"/>
              </w:rPr>
              <w:t>国际道路货物运输许可</w:t>
            </w:r>
          </w:p>
          <w:p w:rsidR="000B57EA" w:rsidRPr="007E0FD6" w:rsidRDefault="000B57EA" w:rsidP="00F91C5C">
            <w:pPr>
              <w:snapToGrid w:val="0"/>
              <w:spacing w:line="360" w:lineRule="exact"/>
              <w:rPr>
                <w:rFonts w:eastAsia="仿宋_GB2312"/>
                <w:sz w:val="24"/>
              </w:rPr>
            </w:pPr>
          </w:p>
        </w:tc>
        <w:tc>
          <w:tcPr>
            <w:tcW w:w="1146" w:type="dxa"/>
            <w:vAlign w:val="center"/>
          </w:tcPr>
          <w:p w:rsidR="000B57EA" w:rsidRPr="007E0FD6" w:rsidRDefault="000B57EA" w:rsidP="00F91C5C">
            <w:pPr>
              <w:snapToGrid w:val="0"/>
              <w:spacing w:line="360" w:lineRule="exact"/>
              <w:rPr>
                <w:rFonts w:eastAsia="仿宋_GB2312"/>
                <w:sz w:val="24"/>
              </w:rPr>
            </w:pPr>
            <w:r w:rsidRPr="007E0FD6">
              <w:rPr>
                <w:rFonts w:eastAsia="仿宋_GB2312"/>
                <w:sz w:val="24"/>
              </w:rPr>
              <w:t>市交通运输委</w:t>
            </w:r>
          </w:p>
        </w:tc>
        <w:tc>
          <w:tcPr>
            <w:tcW w:w="1279" w:type="dxa"/>
            <w:vAlign w:val="center"/>
          </w:tcPr>
          <w:p w:rsidR="000B57EA" w:rsidRPr="007E0FD6" w:rsidRDefault="000B57EA" w:rsidP="00F91C5C">
            <w:pPr>
              <w:widowControl/>
              <w:snapToGrid w:val="0"/>
              <w:spacing w:line="360" w:lineRule="exact"/>
              <w:rPr>
                <w:rFonts w:eastAsia="仿宋_GB2312"/>
                <w:sz w:val="24"/>
              </w:rPr>
            </w:pPr>
            <w:r w:rsidRPr="007E0FD6">
              <w:rPr>
                <w:rFonts w:eastAsia="仿宋_GB2312"/>
                <w:sz w:val="24"/>
              </w:rPr>
              <w:t>《中华人民共和国道路运输条例》</w:t>
            </w:r>
          </w:p>
        </w:tc>
        <w:tc>
          <w:tcPr>
            <w:tcW w:w="4016" w:type="dxa"/>
            <w:vAlign w:val="center"/>
          </w:tcPr>
          <w:p w:rsidR="000B57EA" w:rsidRPr="007E0FD6" w:rsidRDefault="000B57EA" w:rsidP="000B57EA">
            <w:pPr>
              <w:widowControl/>
              <w:snapToGrid w:val="0"/>
              <w:spacing w:beforeLines="50" w:before="156" w:afterLines="50" w:after="156" w:line="360" w:lineRule="exact"/>
              <w:rPr>
                <w:rFonts w:eastAsia="仿宋_GB2312"/>
                <w:sz w:val="24"/>
              </w:rPr>
            </w:pPr>
            <w:r w:rsidRPr="007E0FD6">
              <w:rPr>
                <w:rFonts w:eastAsia="仿宋_GB2312"/>
                <w:sz w:val="24"/>
              </w:rPr>
              <w:t>取消审批后，改为备案。交通运输部门要会同有关部门通过以下措施加强事中事后监管：</w:t>
            </w:r>
            <w:r w:rsidRPr="007E0FD6">
              <w:rPr>
                <w:rFonts w:eastAsia="仿宋_GB2312"/>
                <w:sz w:val="24"/>
              </w:rPr>
              <w:t>1</w:t>
            </w:r>
            <w:r w:rsidRPr="007E0FD6">
              <w:rPr>
                <w:rFonts w:eastAsia="仿宋_GB2312"/>
                <w:sz w:val="24"/>
              </w:rPr>
              <w:t>．加强双、多边国际道路运输协定的制定修订工作，完善</w:t>
            </w:r>
            <w:r w:rsidRPr="00FA29AD">
              <w:rPr>
                <w:rFonts w:ascii="仿宋_GB2312" w:eastAsia="仿宋_GB2312" w:hint="eastAsia"/>
                <w:sz w:val="24"/>
              </w:rPr>
              <w:t>“一带一路”沿</w:t>
            </w:r>
            <w:r w:rsidRPr="007E0FD6">
              <w:rPr>
                <w:rFonts w:eastAsia="仿宋_GB2312"/>
                <w:sz w:val="24"/>
              </w:rPr>
              <w:t>线国家协定体系，明确国际道路货物运输相关要求。</w:t>
            </w:r>
            <w:r w:rsidRPr="007E0FD6">
              <w:rPr>
                <w:rFonts w:eastAsia="仿宋_GB2312"/>
                <w:sz w:val="24"/>
              </w:rPr>
              <w:t>2</w:t>
            </w:r>
            <w:r w:rsidRPr="007E0FD6">
              <w:rPr>
                <w:rFonts w:eastAsia="仿宋_GB2312"/>
                <w:sz w:val="24"/>
              </w:rPr>
              <w:t>．加强相关标准制定修订工作，对</w:t>
            </w:r>
            <w:r w:rsidRPr="00FA29AD">
              <w:rPr>
                <w:rFonts w:ascii="仿宋_GB2312" w:eastAsia="仿宋_GB2312" w:hint="eastAsia"/>
                <w:sz w:val="24"/>
              </w:rPr>
              <w:t>接“一带一路”沿</w:t>
            </w:r>
            <w:r w:rsidRPr="007E0FD6">
              <w:rPr>
                <w:rFonts w:eastAsia="仿宋_GB2312"/>
                <w:sz w:val="24"/>
              </w:rPr>
              <w:t>线国家（地区）技术标准，加快健全国际道路货物运输标准体系。</w:t>
            </w:r>
            <w:r w:rsidRPr="007E0FD6">
              <w:rPr>
                <w:rFonts w:eastAsia="仿宋_GB2312"/>
                <w:sz w:val="24"/>
              </w:rPr>
              <w:t>3</w:t>
            </w:r>
            <w:r w:rsidRPr="007E0FD6">
              <w:rPr>
                <w:rFonts w:eastAsia="仿宋_GB2312"/>
                <w:sz w:val="24"/>
              </w:rPr>
              <w:t>．加强与海关、边检、交管等的信息共享和联合监管，加强对有关车辆的静态管理和动态监控。</w:t>
            </w:r>
            <w:r w:rsidRPr="007E0FD6">
              <w:rPr>
                <w:rFonts w:eastAsia="仿宋_GB2312"/>
                <w:sz w:val="24"/>
              </w:rPr>
              <w:t>4</w:t>
            </w:r>
            <w:r w:rsidRPr="007E0FD6">
              <w:rPr>
                <w:rFonts w:eastAsia="仿宋_GB2312"/>
                <w:sz w:val="24"/>
              </w:rPr>
              <w:t>．加强信用监管，落实企业主体责任，建立违法失信企业退出机制。</w:t>
            </w:r>
          </w:p>
        </w:tc>
        <w:tc>
          <w:tcPr>
            <w:tcW w:w="1521" w:type="dxa"/>
            <w:vAlign w:val="center"/>
          </w:tcPr>
          <w:p w:rsidR="000B57EA" w:rsidRPr="007E0FD6" w:rsidRDefault="000B57EA" w:rsidP="00F91C5C">
            <w:pPr>
              <w:snapToGrid w:val="0"/>
              <w:spacing w:line="360" w:lineRule="exact"/>
              <w:rPr>
                <w:rFonts w:ascii="仿宋_GB2312" w:eastAsia="仿宋_GB2312" w:hint="eastAsia"/>
                <w:sz w:val="24"/>
              </w:rPr>
            </w:pPr>
            <w:r w:rsidRPr="007E0FD6">
              <w:rPr>
                <w:rFonts w:ascii="仿宋_GB2312" w:eastAsia="仿宋_GB2312" w:hint="eastAsia"/>
                <w:sz w:val="24"/>
              </w:rPr>
              <w:t>对应取消天津市市级暂不列入行政许可事项“国际道路运输经营许可”，改为备案管理，纳入天津市公共服务事项目录。</w:t>
            </w:r>
          </w:p>
        </w:tc>
      </w:tr>
      <w:tr w:rsidR="000B57EA" w:rsidRPr="007E0FD6" w:rsidTr="00F91C5C">
        <w:trPr>
          <w:cantSplit/>
          <w:trHeight w:val="6242"/>
          <w:jc w:val="center"/>
        </w:trPr>
        <w:tc>
          <w:tcPr>
            <w:tcW w:w="746" w:type="dxa"/>
            <w:vAlign w:val="center"/>
          </w:tcPr>
          <w:p w:rsidR="000B57EA" w:rsidRPr="007E0FD6" w:rsidRDefault="000B57EA" w:rsidP="00F91C5C">
            <w:pPr>
              <w:snapToGrid w:val="0"/>
              <w:spacing w:line="300" w:lineRule="exact"/>
              <w:jc w:val="center"/>
              <w:rPr>
                <w:rFonts w:eastAsia="仿宋_GB2312"/>
                <w:sz w:val="24"/>
              </w:rPr>
            </w:pPr>
            <w:r w:rsidRPr="007E0FD6">
              <w:rPr>
                <w:rFonts w:eastAsia="仿宋_GB2312"/>
                <w:sz w:val="24"/>
              </w:rPr>
              <w:lastRenderedPageBreak/>
              <w:t>8</w:t>
            </w:r>
          </w:p>
        </w:tc>
        <w:tc>
          <w:tcPr>
            <w:tcW w:w="1264" w:type="dxa"/>
            <w:vAlign w:val="center"/>
          </w:tcPr>
          <w:p w:rsidR="000B57EA" w:rsidRPr="007E0FD6" w:rsidRDefault="000B57EA" w:rsidP="00F91C5C">
            <w:pPr>
              <w:widowControl/>
              <w:snapToGrid w:val="0"/>
              <w:spacing w:line="360" w:lineRule="exact"/>
              <w:rPr>
                <w:rFonts w:eastAsia="仿宋_GB2312" w:hint="eastAsia"/>
                <w:sz w:val="24"/>
              </w:rPr>
            </w:pPr>
            <w:r w:rsidRPr="007E0FD6">
              <w:rPr>
                <w:rFonts w:eastAsia="仿宋_GB2312"/>
                <w:sz w:val="24"/>
              </w:rPr>
              <w:t>道路货物运输站（场）经营许可</w:t>
            </w:r>
          </w:p>
        </w:tc>
        <w:tc>
          <w:tcPr>
            <w:tcW w:w="1146" w:type="dxa"/>
            <w:vAlign w:val="center"/>
          </w:tcPr>
          <w:p w:rsidR="000B57EA" w:rsidRPr="007E0FD6" w:rsidRDefault="000B57EA" w:rsidP="00F91C5C">
            <w:pPr>
              <w:snapToGrid w:val="0"/>
              <w:spacing w:line="360" w:lineRule="exact"/>
              <w:rPr>
                <w:rFonts w:eastAsia="仿宋_GB2312"/>
                <w:sz w:val="24"/>
              </w:rPr>
            </w:pPr>
            <w:r w:rsidRPr="007E0FD6">
              <w:rPr>
                <w:rFonts w:eastAsia="仿宋_GB2312"/>
                <w:sz w:val="24"/>
              </w:rPr>
              <w:t>市交通运输委</w:t>
            </w:r>
            <w:r>
              <w:rPr>
                <w:rFonts w:eastAsia="仿宋_GB2312" w:hint="eastAsia"/>
                <w:sz w:val="24"/>
              </w:rPr>
              <w:t>，</w:t>
            </w:r>
            <w:r w:rsidRPr="007E0FD6">
              <w:rPr>
                <w:rFonts w:eastAsia="仿宋_GB2312"/>
                <w:sz w:val="24"/>
              </w:rPr>
              <w:t>自贸试验区、滨海新区、</w:t>
            </w:r>
            <w:proofErr w:type="gramStart"/>
            <w:r w:rsidRPr="007E0FD6">
              <w:rPr>
                <w:rFonts w:eastAsia="仿宋_GB2312"/>
                <w:sz w:val="24"/>
              </w:rPr>
              <w:t>环城四</w:t>
            </w:r>
            <w:proofErr w:type="gramEnd"/>
            <w:r w:rsidRPr="007E0FD6">
              <w:rPr>
                <w:rFonts w:eastAsia="仿宋_GB2312"/>
                <w:sz w:val="24"/>
              </w:rPr>
              <w:t>区和武清区、宝坻区、宁河区、静海区、</w:t>
            </w:r>
            <w:proofErr w:type="gramStart"/>
            <w:r w:rsidRPr="007E0FD6">
              <w:rPr>
                <w:rFonts w:eastAsia="仿宋_GB2312"/>
                <w:sz w:val="24"/>
              </w:rPr>
              <w:t>蓟</w:t>
            </w:r>
            <w:proofErr w:type="gramEnd"/>
            <w:r w:rsidRPr="007E0FD6">
              <w:rPr>
                <w:rFonts w:eastAsia="仿宋_GB2312"/>
                <w:sz w:val="24"/>
              </w:rPr>
              <w:t>州区政务服务办</w:t>
            </w:r>
          </w:p>
        </w:tc>
        <w:tc>
          <w:tcPr>
            <w:tcW w:w="1279" w:type="dxa"/>
            <w:vAlign w:val="center"/>
          </w:tcPr>
          <w:p w:rsidR="000B57EA" w:rsidRPr="007E0FD6" w:rsidRDefault="000B57EA" w:rsidP="00F91C5C">
            <w:pPr>
              <w:widowControl/>
              <w:snapToGrid w:val="0"/>
              <w:spacing w:line="360" w:lineRule="exact"/>
              <w:rPr>
                <w:rFonts w:eastAsia="仿宋_GB2312"/>
                <w:sz w:val="24"/>
              </w:rPr>
            </w:pPr>
            <w:r w:rsidRPr="007E0FD6">
              <w:rPr>
                <w:rFonts w:eastAsia="仿宋_GB2312"/>
                <w:sz w:val="24"/>
              </w:rPr>
              <w:t>《中华人民共和国道路运输条例》</w:t>
            </w:r>
          </w:p>
        </w:tc>
        <w:tc>
          <w:tcPr>
            <w:tcW w:w="4016" w:type="dxa"/>
            <w:vAlign w:val="center"/>
          </w:tcPr>
          <w:p w:rsidR="000B57EA" w:rsidRPr="007E0FD6" w:rsidRDefault="000B57EA" w:rsidP="00F91C5C">
            <w:pPr>
              <w:widowControl/>
              <w:snapToGrid w:val="0"/>
              <w:spacing w:line="360" w:lineRule="exact"/>
              <w:rPr>
                <w:rFonts w:eastAsia="仿宋_GB2312"/>
                <w:sz w:val="24"/>
              </w:rPr>
            </w:pPr>
            <w:r w:rsidRPr="007E0FD6">
              <w:rPr>
                <w:rFonts w:eastAsia="仿宋_GB2312"/>
                <w:sz w:val="24"/>
              </w:rPr>
              <w:t>取消审批后，交通运输部要制定道路货物运输站（场）相关标准，指导、督促地方交通运输部门通过以下措施加强事中事后监管：</w:t>
            </w:r>
            <w:r w:rsidRPr="007E0FD6">
              <w:rPr>
                <w:rFonts w:eastAsia="仿宋_GB2312"/>
                <w:sz w:val="24"/>
              </w:rPr>
              <w:t>1</w:t>
            </w:r>
            <w:r w:rsidRPr="007E0FD6">
              <w:rPr>
                <w:rFonts w:eastAsia="仿宋_GB2312"/>
                <w:sz w:val="24"/>
              </w:rPr>
              <w:t>．加强对道路货物运输站（场）及入驻企业的安全监管，督促企业履行安全生产主体责任。</w:t>
            </w:r>
            <w:r w:rsidRPr="007E0FD6">
              <w:rPr>
                <w:rFonts w:eastAsia="仿宋_GB2312"/>
                <w:sz w:val="24"/>
              </w:rPr>
              <w:t>2</w:t>
            </w:r>
            <w:r w:rsidRPr="007E0FD6">
              <w:rPr>
                <w:rFonts w:eastAsia="仿宋_GB2312"/>
                <w:sz w:val="24"/>
              </w:rPr>
              <w:t>．实施道路货物运输站（场）相关标准，推动站（场）建设运营标准化。</w:t>
            </w:r>
            <w:r w:rsidRPr="007E0FD6">
              <w:rPr>
                <w:rFonts w:eastAsia="仿宋_GB2312"/>
                <w:sz w:val="24"/>
              </w:rPr>
              <w:t>3</w:t>
            </w:r>
            <w:r w:rsidRPr="007E0FD6">
              <w:rPr>
                <w:rFonts w:eastAsia="仿宋_GB2312"/>
                <w:sz w:val="24"/>
              </w:rPr>
              <w:t>．加强信用监管，建立健全道路货物运输企业及从业人员的诚信考核制度。</w:t>
            </w:r>
          </w:p>
        </w:tc>
        <w:tc>
          <w:tcPr>
            <w:tcW w:w="1521" w:type="dxa"/>
            <w:vAlign w:val="center"/>
          </w:tcPr>
          <w:p w:rsidR="000B57EA" w:rsidRPr="007E0FD6" w:rsidRDefault="000B57EA" w:rsidP="00F91C5C">
            <w:pPr>
              <w:snapToGrid w:val="0"/>
              <w:spacing w:line="360" w:lineRule="exact"/>
              <w:rPr>
                <w:rFonts w:ascii="仿宋_GB2312" w:eastAsia="仿宋_GB2312" w:hint="eastAsia"/>
                <w:sz w:val="24"/>
              </w:rPr>
            </w:pPr>
            <w:r w:rsidRPr="007E0FD6">
              <w:rPr>
                <w:rFonts w:ascii="仿宋_GB2312" w:eastAsia="仿宋_GB2312" w:hint="eastAsia"/>
                <w:sz w:val="24"/>
              </w:rPr>
              <w:t>对应取消天津市市级、自贸试验区、滨海新区、郊区现行实施行政许可事项“道路运输站（场）经营许可”的子项“道路货物站（场）经营许可”，事项名称修改为“道路客运站（场）经营许可”。</w:t>
            </w:r>
          </w:p>
        </w:tc>
      </w:tr>
      <w:tr w:rsidR="000B57EA" w:rsidRPr="007E0FD6" w:rsidTr="00F91C5C">
        <w:trPr>
          <w:cantSplit/>
          <w:jc w:val="center"/>
        </w:trPr>
        <w:tc>
          <w:tcPr>
            <w:tcW w:w="746" w:type="dxa"/>
            <w:vAlign w:val="center"/>
          </w:tcPr>
          <w:p w:rsidR="000B57EA" w:rsidRPr="007E0FD6" w:rsidRDefault="000B57EA" w:rsidP="00F91C5C">
            <w:pPr>
              <w:snapToGrid w:val="0"/>
              <w:spacing w:line="300" w:lineRule="exact"/>
              <w:jc w:val="center"/>
              <w:rPr>
                <w:rFonts w:eastAsia="仿宋_GB2312"/>
                <w:sz w:val="24"/>
              </w:rPr>
            </w:pPr>
            <w:r w:rsidRPr="007E0FD6">
              <w:rPr>
                <w:rFonts w:eastAsia="仿宋_GB2312"/>
                <w:sz w:val="24"/>
              </w:rPr>
              <w:lastRenderedPageBreak/>
              <w:t>9</w:t>
            </w:r>
          </w:p>
        </w:tc>
        <w:tc>
          <w:tcPr>
            <w:tcW w:w="1264" w:type="dxa"/>
            <w:vAlign w:val="center"/>
          </w:tcPr>
          <w:p w:rsidR="000B57EA" w:rsidRPr="007E0FD6" w:rsidRDefault="000B57EA" w:rsidP="00F91C5C">
            <w:pPr>
              <w:widowControl/>
              <w:snapToGrid w:val="0"/>
              <w:spacing w:line="320" w:lineRule="exact"/>
              <w:rPr>
                <w:rFonts w:eastAsia="仿宋_GB2312" w:hint="eastAsia"/>
                <w:sz w:val="24"/>
              </w:rPr>
            </w:pPr>
            <w:r w:rsidRPr="007E0FD6">
              <w:rPr>
                <w:rFonts w:eastAsia="仿宋_GB2312"/>
                <w:sz w:val="24"/>
              </w:rPr>
              <w:t>饲料添加剂预混合饲料、混合型饲料添加剂产品批准文号核发</w:t>
            </w:r>
          </w:p>
        </w:tc>
        <w:tc>
          <w:tcPr>
            <w:tcW w:w="1146" w:type="dxa"/>
            <w:vAlign w:val="center"/>
          </w:tcPr>
          <w:p w:rsidR="000B57EA" w:rsidRPr="007E0FD6" w:rsidRDefault="000B57EA" w:rsidP="00F91C5C">
            <w:pPr>
              <w:snapToGrid w:val="0"/>
              <w:spacing w:line="320" w:lineRule="exact"/>
              <w:rPr>
                <w:rFonts w:eastAsia="仿宋_GB2312"/>
                <w:sz w:val="24"/>
              </w:rPr>
            </w:pPr>
            <w:r w:rsidRPr="007E0FD6">
              <w:rPr>
                <w:rFonts w:eastAsia="仿宋_GB2312"/>
                <w:sz w:val="24"/>
              </w:rPr>
              <w:t>市农业农村委</w:t>
            </w:r>
          </w:p>
        </w:tc>
        <w:tc>
          <w:tcPr>
            <w:tcW w:w="1279" w:type="dxa"/>
            <w:vAlign w:val="center"/>
          </w:tcPr>
          <w:p w:rsidR="000B57EA" w:rsidRPr="007E0FD6" w:rsidRDefault="000B57EA" w:rsidP="00F91C5C">
            <w:pPr>
              <w:widowControl/>
              <w:snapToGrid w:val="0"/>
              <w:spacing w:line="320" w:lineRule="exact"/>
              <w:rPr>
                <w:rFonts w:eastAsia="仿宋_GB2312"/>
                <w:sz w:val="24"/>
              </w:rPr>
            </w:pPr>
            <w:r w:rsidRPr="007E0FD6">
              <w:rPr>
                <w:rFonts w:eastAsia="仿宋_GB2312"/>
                <w:sz w:val="24"/>
              </w:rPr>
              <w:t>《饲料和饲料添加剂管理条例》</w:t>
            </w:r>
          </w:p>
        </w:tc>
        <w:tc>
          <w:tcPr>
            <w:tcW w:w="4016" w:type="dxa"/>
            <w:vAlign w:val="center"/>
          </w:tcPr>
          <w:p w:rsidR="000B57EA" w:rsidRPr="007E0FD6" w:rsidRDefault="000B57EA" w:rsidP="00F91C5C">
            <w:pPr>
              <w:widowControl/>
              <w:snapToGrid w:val="0"/>
              <w:rPr>
                <w:rFonts w:eastAsia="仿宋_GB2312"/>
                <w:sz w:val="24"/>
              </w:rPr>
            </w:pPr>
            <w:r w:rsidRPr="007E0FD6">
              <w:rPr>
                <w:rFonts w:eastAsia="仿宋_GB2312"/>
                <w:sz w:val="24"/>
              </w:rPr>
              <w:t>取消审批后，改为备案。农业农村部要加大饲料管理法规宣传贯彻力度，加强强制性标准和规范性技术文件制定修订，支持行业组织制定团体标准，指导、督促地方各级农业农村部门通过以下措施加强事中事后监管：</w:t>
            </w:r>
            <w:r w:rsidRPr="007E0FD6">
              <w:rPr>
                <w:rFonts w:eastAsia="仿宋_GB2312"/>
                <w:sz w:val="24"/>
              </w:rPr>
              <w:t>1</w:t>
            </w:r>
            <w:r w:rsidRPr="007E0FD6">
              <w:rPr>
                <w:rFonts w:eastAsia="仿宋_GB2312"/>
                <w:sz w:val="24"/>
              </w:rPr>
              <w:t>．严格实施饲料和饲料添加剂生产许可管理，加大日常监管力度，强化对企业标准制定工作的服务和指导，督促企业建立全程质量安全管理和追溯体系。</w:t>
            </w:r>
            <w:r w:rsidRPr="007E0FD6">
              <w:rPr>
                <w:rFonts w:eastAsia="仿宋_GB2312"/>
                <w:sz w:val="24"/>
              </w:rPr>
              <w:t>2</w:t>
            </w:r>
            <w:r w:rsidRPr="007E0FD6">
              <w:rPr>
                <w:rFonts w:eastAsia="仿宋_GB2312"/>
                <w:sz w:val="24"/>
              </w:rPr>
              <w:t>．建立饲料添加剂预混合饲料、混合型饲料添加剂产品配方备案制度，要求企业主动履行备案义务，对违反规定不进行备案的要设定相应法律责任，开发网上备案系统，方便企业办事。</w:t>
            </w:r>
            <w:r w:rsidRPr="007E0FD6">
              <w:rPr>
                <w:rFonts w:eastAsia="仿宋_GB2312"/>
                <w:sz w:val="24"/>
              </w:rPr>
              <w:t>3</w:t>
            </w:r>
            <w:r w:rsidRPr="007E0FD6">
              <w:rPr>
                <w:rFonts w:eastAsia="仿宋_GB2312"/>
                <w:sz w:val="24"/>
              </w:rPr>
              <w:t>．监督饲料企业严格按照产品标准进行生产，对产品是否符合国家强制性标准和规范性技术要求实施严格监管，严厉打击违规或超量添加抗生素、激素等化学物质的行为。</w:t>
            </w:r>
            <w:r w:rsidRPr="007E0FD6">
              <w:rPr>
                <w:rFonts w:eastAsia="仿宋_GB2312"/>
                <w:sz w:val="24"/>
              </w:rPr>
              <w:t>4</w:t>
            </w:r>
            <w:r w:rsidRPr="007E0FD6">
              <w:rPr>
                <w:rFonts w:eastAsia="仿宋_GB2312"/>
                <w:sz w:val="24"/>
              </w:rPr>
              <w:t>．加大饲料产品经营和使用环节监督检查力度，严肃查处假冒伪劣饲料产品。</w:t>
            </w:r>
            <w:r w:rsidRPr="007E0FD6">
              <w:rPr>
                <w:rFonts w:eastAsia="仿宋_GB2312"/>
                <w:sz w:val="24"/>
              </w:rPr>
              <w:t>5</w:t>
            </w:r>
            <w:r w:rsidRPr="007E0FD6">
              <w:rPr>
                <w:rFonts w:eastAsia="仿宋_GB2312"/>
                <w:sz w:val="24"/>
              </w:rPr>
              <w:t>．加强饲料企业信用监管，健全饲料行业诚信体系，及时记录饲料企业诚信状况并向社会公开。</w:t>
            </w:r>
          </w:p>
        </w:tc>
        <w:tc>
          <w:tcPr>
            <w:tcW w:w="1521" w:type="dxa"/>
            <w:vAlign w:val="center"/>
          </w:tcPr>
          <w:p w:rsidR="000B57EA" w:rsidRPr="007E0FD6" w:rsidRDefault="000B57EA" w:rsidP="00F91C5C">
            <w:pPr>
              <w:snapToGrid w:val="0"/>
              <w:rPr>
                <w:rFonts w:ascii="仿宋_GB2312" w:eastAsia="仿宋_GB2312" w:hint="eastAsia"/>
                <w:sz w:val="24"/>
              </w:rPr>
            </w:pPr>
            <w:r w:rsidRPr="007E0FD6">
              <w:rPr>
                <w:rFonts w:ascii="仿宋_GB2312" w:eastAsia="仿宋_GB2312" w:hint="eastAsia"/>
                <w:sz w:val="24"/>
              </w:rPr>
              <w:t>对应取消天津市市级现行实施行政许可事项“饲料和饲料添加剂生产许可、饲料添加剂和添加剂预混合饲料产品批准文号核发”的子项“饲料添加剂和添加剂预混合饲料产品批准文号核发”</w:t>
            </w:r>
            <w:r>
              <w:rPr>
                <w:rFonts w:ascii="仿宋_GB2312" w:eastAsia="仿宋_GB2312" w:hint="eastAsia"/>
                <w:sz w:val="24"/>
              </w:rPr>
              <w:t>的</w:t>
            </w:r>
            <w:r w:rsidRPr="007E0FD6">
              <w:rPr>
                <w:rFonts w:ascii="仿宋_GB2312" w:eastAsia="仿宋_GB2312" w:hint="eastAsia"/>
                <w:sz w:val="24"/>
              </w:rPr>
              <w:t>两</w:t>
            </w:r>
            <w:r>
              <w:rPr>
                <w:rFonts w:ascii="仿宋_GB2312" w:eastAsia="仿宋_GB2312" w:hint="eastAsia"/>
                <w:sz w:val="24"/>
              </w:rPr>
              <w:t>种</w:t>
            </w:r>
            <w:r w:rsidRPr="007E0FD6">
              <w:rPr>
                <w:rFonts w:ascii="仿宋_GB2312" w:eastAsia="仿宋_GB2312" w:hint="eastAsia"/>
                <w:sz w:val="24"/>
              </w:rPr>
              <w:t>情形</w:t>
            </w:r>
            <w:r>
              <w:rPr>
                <w:rFonts w:ascii="仿宋_GB2312" w:eastAsia="仿宋_GB2312" w:hint="eastAsia"/>
                <w:sz w:val="24"/>
              </w:rPr>
              <w:t>，事项</w:t>
            </w:r>
            <w:r w:rsidRPr="007E0FD6">
              <w:rPr>
                <w:rFonts w:ascii="仿宋_GB2312" w:eastAsia="仿宋_GB2312" w:hint="eastAsia"/>
                <w:sz w:val="24"/>
              </w:rPr>
              <w:t>名称修</w:t>
            </w:r>
            <w:r>
              <w:rPr>
                <w:rFonts w:ascii="仿宋_GB2312" w:eastAsia="仿宋_GB2312" w:hint="eastAsia"/>
                <w:sz w:val="24"/>
              </w:rPr>
              <w:t>改</w:t>
            </w:r>
            <w:r w:rsidRPr="007E0FD6">
              <w:rPr>
                <w:rFonts w:ascii="仿宋_GB2312" w:eastAsia="仿宋_GB2312" w:hint="eastAsia"/>
                <w:sz w:val="24"/>
              </w:rPr>
              <w:t>为“饲料和饲料添加剂生产许可、饲料添加剂产品批准文号核发”，子项名称修改为“饲料添加剂产品批准文号核发”。</w:t>
            </w:r>
          </w:p>
        </w:tc>
      </w:tr>
      <w:tr w:rsidR="000B57EA" w:rsidRPr="007E0FD6" w:rsidTr="00F91C5C">
        <w:trPr>
          <w:cantSplit/>
          <w:trHeight w:val="3324"/>
          <w:jc w:val="center"/>
        </w:trPr>
        <w:tc>
          <w:tcPr>
            <w:tcW w:w="746" w:type="dxa"/>
            <w:vAlign w:val="center"/>
          </w:tcPr>
          <w:p w:rsidR="000B57EA" w:rsidRPr="007E0FD6" w:rsidRDefault="000B57EA" w:rsidP="00F91C5C">
            <w:pPr>
              <w:snapToGrid w:val="0"/>
              <w:spacing w:line="300" w:lineRule="exact"/>
              <w:jc w:val="center"/>
              <w:rPr>
                <w:rFonts w:eastAsia="仿宋_GB2312"/>
                <w:sz w:val="24"/>
              </w:rPr>
            </w:pPr>
            <w:r w:rsidRPr="007E0FD6">
              <w:rPr>
                <w:rFonts w:eastAsia="仿宋_GB2312"/>
                <w:sz w:val="24"/>
              </w:rPr>
              <w:t>10</w:t>
            </w:r>
          </w:p>
        </w:tc>
        <w:tc>
          <w:tcPr>
            <w:tcW w:w="1264" w:type="dxa"/>
            <w:vAlign w:val="center"/>
          </w:tcPr>
          <w:p w:rsidR="000B57EA" w:rsidRPr="007E0FD6" w:rsidRDefault="000B57EA" w:rsidP="00F91C5C">
            <w:pPr>
              <w:widowControl/>
              <w:snapToGrid w:val="0"/>
              <w:spacing w:line="320" w:lineRule="exact"/>
              <w:rPr>
                <w:rFonts w:eastAsia="仿宋_GB2312" w:hint="eastAsia"/>
                <w:sz w:val="24"/>
              </w:rPr>
            </w:pPr>
            <w:r w:rsidRPr="007E0FD6">
              <w:rPr>
                <w:rFonts w:eastAsia="仿宋_GB2312"/>
                <w:sz w:val="24"/>
              </w:rPr>
              <w:t>新兽药临床试验审批</w:t>
            </w:r>
          </w:p>
        </w:tc>
        <w:tc>
          <w:tcPr>
            <w:tcW w:w="1146" w:type="dxa"/>
            <w:vAlign w:val="center"/>
          </w:tcPr>
          <w:p w:rsidR="000B57EA" w:rsidRPr="007E0FD6" w:rsidRDefault="000B57EA" w:rsidP="00F91C5C">
            <w:pPr>
              <w:snapToGrid w:val="0"/>
              <w:spacing w:line="320" w:lineRule="exact"/>
              <w:rPr>
                <w:rFonts w:eastAsia="仿宋_GB2312"/>
                <w:sz w:val="24"/>
              </w:rPr>
            </w:pPr>
            <w:r w:rsidRPr="007E0FD6">
              <w:rPr>
                <w:rFonts w:eastAsia="仿宋_GB2312"/>
                <w:sz w:val="24"/>
              </w:rPr>
              <w:t>市农业农村委</w:t>
            </w:r>
          </w:p>
        </w:tc>
        <w:tc>
          <w:tcPr>
            <w:tcW w:w="1279" w:type="dxa"/>
            <w:vAlign w:val="center"/>
          </w:tcPr>
          <w:p w:rsidR="000B57EA" w:rsidRPr="007E0FD6" w:rsidRDefault="000B57EA" w:rsidP="00F91C5C">
            <w:pPr>
              <w:widowControl/>
              <w:snapToGrid w:val="0"/>
              <w:spacing w:line="320" w:lineRule="exact"/>
              <w:rPr>
                <w:rFonts w:eastAsia="仿宋_GB2312"/>
                <w:sz w:val="24"/>
              </w:rPr>
            </w:pPr>
            <w:r w:rsidRPr="007E0FD6">
              <w:rPr>
                <w:rFonts w:eastAsia="仿宋_GB2312"/>
                <w:sz w:val="24"/>
              </w:rPr>
              <w:t>《兽药管理条例》</w:t>
            </w:r>
          </w:p>
        </w:tc>
        <w:tc>
          <w:tcPr>
            <w:tcW w:w="4016" w:type="dxa"/>
            <w:vAlign w:val="center"/>
          </w:tcPr>
          <w:p w:rsidR="000B57EA" w:rsidRPr="00E14963" w:rsidRDefault="000B57EA" w:rsidP="00F91C5C">
            <w:pPr>
              <w:widowControl/>
              <w:snapToGrid w:val="0"/>
              <w:rPr>
                <w:rFonts w:eastAsia="仿宋_GB2312"/>
                <w:sz w:val="24"/>
              </w:rPr>
            </w:pPr>
            <w:r w:rsidRPr="00E14963">
              <w:rPr>
                <w:rFonts w:eastAsia="仿宋_GB2312"/>
                <w:sz w:val="24"/>
              </w:rPr>
              <w:t>取消审批后，改为备案。农业农村部、省级农业农村部门（兽医行政管理部门）要通过以下措施加强事中事后监管：</w:t>
            </w:r>
            <w:r w:rsidRPr="00E14963">
              <w:rPr>
                <w:rFonts w:eastAsia="仿宋_GB2312"/>
                <w:sz w:val="24"/>
              </w:rPr>
              <w:t>1</w:t>
            </w:r>
            <w:r w:rsidRPr="00E14963">
              <w:rPr>
                <w:rFonts w:eastAsia="仿宋_GB2312"/>
                <w:sz w:val="24"/>
              </w:rPr>
              <w:t>．建立新兽药临床试验资料备案制度，及时掌握兽药临床试验情况。</w:t>
            </w:r>
            <w:r w:rsidRPr="00E14963">
              <w:rPr>
                <w:rFonts w:eastAsia="仿宋_GB2312"/>
                <w:sz w:val="24"/>
              </w:rPr>
              <w:t>2</w:t>
            </w:r>
            <w:r w:rsidRPr="00E14963">
              <w:rPr>
                <w:rFonts w:eastAsia="仿宋_GB2312"/>
                <w:sz w:val="24"/>
              </w:rPr>
              <w:t>．加强对兽药企业从业人员的培训，帮助试验人员深入掌握兽药临床试验规范要求，指导临床试验规范开展。</w:t>
            </w:r>
            <w:r w:rsidRPr="00E14963">
              <w:rPr>
                <w:rFonts w:eastAsia="仿宋_GB2312"/>
                <w:sz w:val="24"/>
              </w:rPr>
              <w:t>3</w:t>
            </w:r>
            <w:r w:rsidRPr="00E14963">
              <w:rPr>
                <w:rFonts w:eastAsia="仿宋_GB2312"/>
                <w:sz w:val="24"/>
              </w:rPr>
              <w:t>．加大执法力度，监督有关单位按照要求开展临床试验，严肃查处违法行为。</w:t>
            </w:r>
          </w:p>
        </w:tc>
        <w:tc>
          <w:tcPr>
            <w:tcW w:w="1521" w:type="dxa"/>
            <w:vAlign w:val="center"/>
          </w:tcPr>
          <w:p w:rsidR="000B57EA" w:rsidRPr="007E0FD6" w:rsidRDefault="000B57EA" w:rsidP="00F91C5C">
            <w:pPr>
              <w:snapToGrid w:val="0"/>
              <w:rPr>
                <w:rFonts w:ascii="仿宋_GB2312" w:eastAsia="仿宋_GB2312" w:hint="eastAsia"/>
                <w:sz w:val="24"/>
              </w:rPr>
            </w:pPr>
            <w:r w:rsidRPr="007E0FD6">
              <w:rPr>
                <w:rFonts w:ascii="仿宋_GB2312" w:eastAsia="仿宋_GB2312" w:hint="eastAsia"/>
                <w:sz w:val="24"/>
              </w:rPr>
              <w:t>对应取消天津市市级现行实施行政许可事项“新兽药临床试验许可”。</w:t>
            </w:r>
          </w:p>
        </w:tc>
      </w:tr>
      <w:tr w:rsidR="000B57EA" w:rsidRPr="007E0FD6" w:rsidTr="00F91C5C">
        <w:trPr>
          <w:cantSplit/>
          <w:trHeight w:val="3817"/>
          <w:jc w:val="center"/>
        </w:trPr>
        <w:tc>
          <w:tcPr>
            <w:tcW w:w="746" w:type="dxa"/>
            <w:vAlign w:val="center"/>
          </w:tcPr>
          <w:p w:rsidR="000B57EA" w:rsidRPr="007E0FD6" w:rsidRDefault="000B57EA" w:rsidP="00F91C5C">
            <w:pPr>
              <w:snapToGrid w:val="0"/>
              <w:spacing w:line="300" w:lineRule="exact"/>
              <w:jc w:val="center"/>
              <w:rPr>
                <w:rFonts w:eastAsia="仿宋_GB2312"/>
                <w:sz w:val="24"/>
              </w:rPr>
            </w:pPr>
            <w:r w:rsidRPr="007E0FD6">
              <w:rPr>
                <w:rFonts w:eastAsia="仿宋_GB2312"/>
                <w:sz w:val="24"/>
              </w:rPr>
              <w:lastRenderedPageBreak/>
              <w:t>11</w:t>
            </w:r>
          </w:p>
        </w:tc>
        <w:tc>
          <w:tcPr>
            <w:tcW w:w="1264" w:type="dxa"/>
            <w:vAlign w:val="center"/>
          </w:tcPr>
          <w:p w:rsidR="000B57EA" w:rsidRPr="007E0FD6" w:rsidRDefault="000B57EA" w:rsidP="00F91C5C">
            <w:pPr>
              <w:snapToGrid w:val="0"/>
              <w:rPr>
                <w:rFonts w:eastAsia="仿宋_GB2312"/>
                <w:sz w:val="24"/>
              </w:rPr>
            </w:pPr>
            <w:r w:rsidRPr="007E0FD6">
              <w:rPr>
                <w:rFonts w:eastAsia="仿宋_GB2312"/>
                <w:sz w:val="24"/>
              </w:rPr>
              <w:t>名称预先核准（包括企业、企业集团、个体工商户、农民专业合作社名称预先核准）</w:t>
            </w:r>
          </w:p>
        </w:tc>
        <w:tc>
          <w:tcPr>
            <w:tcW w:w="1146" w:type="dxa"/>
            <w:vAlign w:val="center"/>
          </w:tcPr>
          <w:p w:rsidR="000B57EA" w:rsidRPr="007E0FD6" w:rsidRDefault="000B57EA" w:rsidP="00F91C5C">
            <w:pPr>
              <w:snapToGrid w:val="0"/>
              <w:rPr>
                <w:rFonts w:eastAsia="仿宋_GB2312"/>
                <w:sz w:val="24"/>
              </w:rPr>
            </w:pPr>
            <w:r w:rsidRPr="007E0FD6">
              <w:rPr>
                <w:rFonts w:eastAsia="仿宋_GB2312"/>
                <w:sz w:val="24"/>
              </w:rPr>
              <w:t>市市场监管委</w:t>
            </w:r>
            <w:r>
              <w:rPr>
                <w:rFonts w:eastAsia="仿宋_GB2312" w:hint="eastAsia"/>
                <w:sz w:val="24"/>
              </w:rPr>
              <w:t>，</w:t>
            </w:r>
            <w:r w:rsidRPr="007E0FD6">
              <w:rPr>
                <w:rFonts w:eastAsia="仿宋_GB2312"/>
                <w:sz w:val="24"/>
              </w:rPr>
              <w:t>自贸试验区</w:t>
            </w:r>
            <w:r>
              <w:rPr>
                <w:rFonts w:eastAsia="仿宋_GB2312" w:hint="eastAsia"/>
                <w:sz w:val="24"/>
              </w:rPr>
              <w:t>、</w:t>
            </w:r>
            <w:r w:rsidRPr="007E0FD6">
              <w:rPr>
                <w:rFonts w:eastAsia="仿宋_GB2312"/>
                <w:sz w:val="24"/>
              </w:rPr>
              <w:t>各区政务服务办</w:t>
            </w:r>
          </w:p>
        </w:tc>
        <w:tc>
          <w:tcPr>
            <w:tcW w:w="1279" w:type="dxa"/>
            <w:vAlign w:val="center"/>
          </w:tcPr>
          <w:p w:rsidR="000B57EA" w:rsidRPr="007E0FD6" w:rsidRDefault="000B57EA" w:rsidP="00F91C5C">
            <w:pPr>
              <w:widowControl/>
              <w:snapToGrid w:val="0"/>
              <w:rPr>
                <w:rFonts w:eastAsia="仿宋_GB2312"/>
                <w:sz w:val="24"/>
              </w:rPr>
            </w:pPr>
            <w:r w:rsidRPr="007E0FD6">
              <w:rPr>
                <w:rFonts w:eastAsia="仿宋_GB2312"/>
                <w:sz w:val="24"/>
              </w:rPr>
              <w:t>《中华人民共和国公司登记管理条例》</w:t>
            </w:r>
            <w:r w:rsidRPr="007E0FD6">
              <w:rPr>
                <w:rFonts w:eastAsia="仿宋_GB2312"/>
                <w:sz w:val="24"/>
              </w:rPr>
              <w:br/>
            </w:r>
            <w:r w:rsidRPr="007E0FD6">
              <w:rPr>
                <w:rFonts w:eastAsia="仿宋_GB2312"/>
                <w:sz w:val="24"/>
              </w:rPr>
              <w:t>《中华人民共和国企业法人登记管理条例》</w:t>
            </w:r>
            <w:r w:rsidRPr="007E0FD6">
              <w:rPr>
                <w:rFonts w:eastAsia="仿宋_GB2312"/>
                <w:sz w:val="24"/>
              </w:rPr>
              <w:br/>
            </w:r>
            <w:r w:rsidRPr="007E0FD6">
              <w:rPr>
                <w:rFonts w:eastAsia="仿宋_GB2312"/>
                <w:sz w:val="24"/>
              </w:rPr>
              <w:t>《企业名称登记管理规定》</w:t>
            </w:r>
            <w:r w:rsidRPr="007E0FD6">
              <w:rPr>
                <w:rFonts w:eastAsia="仿宋_GB2312"/>
                <w:sz w:val="24"/>
              </w:rPr>
              <w:br/>
            </w:r>
            <w:r w:rsidRPr="007E0FD6">
              <w:rPr>
                <w:rFonts w:eastAsia="仿宋_GB2312"/>
                <w:sz w:val="24"/>
              </w:rPr>
              <w:t>《个体工商户条例》</w:t>
            </w:r>
            <w:r w:rsidRPr="007E0FD6">
              <w:rPr>
                <w:rFonts w:eastAsia="仿宋_GB2312"/>
                <w:sz w:val="24"/>
              </w:rPr>
              <w:br/>
            </w:r>
            <w:r w:rsidRPr="007E0FD6">
              <w:rPr>
                <w:rFonts w:eastAsia="仿宋_GB2312"/>
                <w:sz w:val="24"/>
              </w:rPr>
              <w:t>《农民专业合作社登记管理条例》</w:t>
            </w:r>
          </w:p>
        </w:tc>
        <w:tc>
          <w:tcPr>
            <w:tcW w:w="4016" w:type="dxa"/>
            <w:vAlign w:val="center"/>
          </w:tcPr>
          <w:p w:rsidR="000B57EA" w:rsidRPr="007E0FD6" w:rsidRDefault="000B57EA" w:rsidP="00F91C5C">
            <w:pPr>
              <w:widowControl/>
              <w:snapToGrid w:val="0"/>
              <w:rPr>
                <w:rFonts w:eastAsia="仿宋_GB2312"/>
                <w:sz w:val="24"/>
              </w:rPr>
            </w:pPr>
            <w:r w:rsidRPr="007E0FD6">
              <w:rPr>
                <w:rFonts w:eastAsia="仿宋_GB2312"/>
                <w:sz w:val="24"/>
              </w:rPr>
              <w:t>取消审批后，改为企业（包括个体工商户、农民专业合作社，下同）自主申报名称，市场监管部门在企业注册登记时核准名称。各级市场监管部门要通过以下措施优化服务、加强事中事后监管：</w:t>
            </w:r>
            <w:r w:rsidRPr="007E0FD6">
              <w:rPr>
                <w:rFonts w:eastAsia="仿宋_GB2312"/>
                <w:sz w:val="24"/>
              </w:rPr>
              <w:t>1</w:t>
            </w:r>
            <w:r w:rsidRPr="007E0FD6">
              <w:rPr>
                <w:rFonts w:eastAsia="仿宋_GB2312"/>
                <w:sz w:val="24"/>
              </w:rPr>
              <w:t>．向社会公开企业名称库，引导企业自行拟定符合规则要求的名称。</w:t>
            </w:r>
            <w:r w:rsidRPr="007E0FD6">
              <w:rPr>
                <w:rFonts w:eastAsia="仿宋_GB2312"/>
                <w:sz w:val="24"/>
              </w:rPr>
              <w:t>2</w:t>
            </w:r>
            <w:r w:rsidRPr="007E0FD6">
              <w:rPr>
                <w:rFonts w:eastAsia="仿宋_GB2312"/>
                <w:sz w:val="24"/>
              </w:rPr>
              <w:t>．建立企业名称自主申报制度，明确企业名称禁限用规则，完善企业名称争议处理机制，加强对企业名称使用的监督管理。</w:t>
            </w:r>
            <w:r w:rsidRPr="007E0FD6">
              <w:rPr>
                <w:rFonts w:eastAsia="仿宋_GB2312"/>
                <w:sz w:val="24"/>
              </w:rPr>
              <w:t>3</w:t>
            </w:r>
            <w:r w:rsidRPr="007E0FD6">
              <w:rPr>
                <w:rFonts w:eastAsia="仿宋_GB2312"/>
                <w:sz w:val="24"/>
              </w:rPr>
              <w:t>．简化优化工商登记程序，实</w:t>
            </w:r>
            <w:r w:rsidRPr="00FA29AD">
              <w:rPr>
                <w:rFonts w:ascii="仿宋_GB2312" w:eastAsia="仿宋_GB2312" w:hint="eastAsia"/>
                <w:sz w:val="24"/>
              </w:rPr>
              <w:t>行“一次性告知”，</w:t>
            </w:r>
            <w:r w:rsidRPr="007E0FD6">
              <w:rPr>
                <w:rFonts w:eastAsia="仿宋_GB2312"/>
                <w:sz w:val="24"/>
              </w:rPr>
              <w:t>提高企业登记办理效率，保障企业自主选择名称。</w:t>
            </w:r>
          </w:p>
        </w:tc>
        <w:tc>
          <w:tcPr>
            <w:tcW w:w="1521" w:type="dxa"/>
            <w:vAlign w:val="center"/>
          </w:tcPr>
          <w:p w:rsidR="000B57EA" w:rsidRPr="007E0FD6" w:rsidRDefault="000B57EA" w:rsidP="00F91C5C">
            <w:pPr>
              <w:snapToGrid w:val="0"/>
              <w:rPr>
                <w:rFonts w:ascii="仿宋_GB2312" w:eastAsia="仿宋_GB2312" w:hint="eastAsia"/>
                <w:sz w:val="24"/>
              </w:rPr>
            </w:pPr>
            <w:r w:rsidRPr="007E0FD6">
              <w:rPr>
                <w:rFonts w:eastAsia="仿宋_GB2312"/>
                <w:sz w:val="24"/>
              </w:rPr>
              <w:t>1</w:t>
            </w:r>
            <w:r w:rsidRPr="007E0FD6">
              <w:rPr>
                <w:rFonts w:ascii="仿宋_GB2312" w:eastAsia="仿宋_GB2312" w:hint="eastAsia"/>
                <w:sz w:val="24"/>
              </w:rPr>
              <w:t>．对应取消天津市市级现行实施、自贸试验区和各区初审上报市级部门审批行政许可事项“企业名称预先核准”。</w:t>
            </w:r>
            <w:r w:rsidRPr="007E0FD6">
              <w:rPr>
                <w:rFonts w:ascii="仿宋_GB2312" w:eastAsia="仿宋_GB2312" w:hint="eastAsia"/>
                <w:sz w:val="24"/>
              </w:rPr>
              <w:br/>
            </w:r>
            <w:r w:rsidRPr="007E0FD6">
              <w:rPr>
                <w:rFonts w:eastAsia="仿宋_GB2312"/>
                <w:sz w:val="24"/>
              </w:rPr>
              <w:t>2</w:t>
            </w:r>
            <w:r w:rsidRPr="007E0FD6">
              <w:rPr>
                <w:rFonts w:ascii="仿宋_GB2312" w:eastAsia="仿宋_GB2312" w:hint="eastAsia"/>
                <w:sz w:val="24"/>
              </w:rPr>
              <w:t>．对应取消自贸试验区、各区现行实施行政许可事项“个体工商户名称预先核准”。</w:t>
            </w:r>
          </w:p>
        </w:tc>
      </w:tr>
      <w:tr w:rsidR="000B57EA" w:rsidRPr="007E0FD6" w:rsidTr="00F91C5C">
        <w:trPr>
          <w:cantSplit/>
          <w:trHeight w:val="3457"/>
          <w:jc w:val="center"/>
        </w:trPr>
        <w:tc>
          <w:tcPr>
            <w:tcW w:w="746" w:type="dxa"/>
            <w:vAlign w:val="center"/>
          </w:tcPr>
          <w:p w:rsidR="000B57EA" w:rsidRPr="007E0FD6" w:rsidRDefault="000B57EA" w:rsidP="00F91C5C">
            <w:pPr>
              <w:snapToGrid w:val="0"/>
              <w:spacing w:line="300" w:lineRule="exact"/>
              <w:jc w:val="center"/>
              <w:rPr>
                <w:rFonts w:eastAsia="仿宋_GB2312" w:hint="eastAsia"/>
                <w:sz w:val="24"/>
              </w:rPr>
            </w:pPr>
            <w:r w:rsidRPr="007E0FD6">
              <w:rPr>
                <w:rFonts w:eastAsia="仿宋_GB2312" w:hint="eastAsia"/>
                <w:sz w:val="24"/>
              </w:rPr>
              <w:t>12</w:t>
            </w:r>
          </w:p>
        </w:tc>
        <w:tc>
          <w:tcPr>
            <w:tcW w:w="1264" w:type="dxa"/>
            <w:vAlign w:val="center"/>
          </w:tcPr>
          <w:p w:rsidR="000B57EA" w:rsidRPr="007E0FD6" w:rsidRDefault="000B57EA" w:rsidP="00F91C5C">
            <w:pPr>
              <w:snapToGrid w:val="0"/>
              <w:rPr>
                <w:rFonts w:ascii="仿宋_GB2312" w:eastAsia="仿宋_GB2312"/>
                <w:sz w:val="24"/>
              </w:rPr>
            </w:pPr>
            <w:r w:rsidRPr="007E0FD6">
              <w:rPr>
                <w:rFonts w:ascii="仿宋_GB2312" w:eastAsia="仿宋_GB2312" w:hint="eastAsia"/>
                <w:sz w:val="24"/>
              </w:rPr>
              <w:t>国产药品注册初审</w:t>
            </w:r>
          </w:p>
        </w:tc>
        <w:tc>
          <w:tcPr>
            <w:tcW w:w="1146" w:type="dxa"/>
            <w:vAlign w:val="center"/>
          </w:tcPr>
          <w:p w:rsidR="000B57EA" w:rsidRPr="007E0FD6" w:rsidRDefault="000B57EA" w:rsidP="00F91C5C">
            <w:pPr>
              <w:snapToGrid w:val="0"/>
              <w:jc w:val="center"/>
              <w:rPr>
                <w:rFonts w:ascii="仿宋_GB2312" w:eastAsia="仿宋_GB2312"/>
                <w:sz w:val="24"/>
              </w:rPr>
            </w:pPr>
            <w:proofErr w:type="gramStart"/>
            <w:r w:rsidRPr="007E0FD6">
              <w:rPr>
                <w:rFonts w:ascii="仿宋_GB2312" w:eastAsia="仿宋_GB2312" w:hint="eastAsia"/>
                <w:sz w:val="24"/>
              </w:rPr>
              <w:t>市药监</w:t>
            </w:r>
            <w:proofErr w:type="gramEnd"/>
            <w:r w:rsidRPr="007E0FD6">
              <w:rPr>
                <w:rFonts w:ascii="仿宋_GB2312" w:eastAsia="仿宋_GB2312" w:hint="eastAsia"/>
                <w:sz w:val="24"/>
              </w:rPr>
              <w:t>局</w:t>
            </w:r>
          </w:p>
        </w:tc>
        <w:tc>
          <w:tcPr>
            <w:tcW w:w="1279" w:type="dxa"/>
            <w:vAlign w:val="center"/>
          </w:tcPr>
          <w:p w:rsidR="000B57EA" w:rsidRPr="007E0FD6" w:rsidRDefault="000B57EA" w:rsidP="00F91C5C">
            <w:pPr>
              <w:snapToGrid w:val="0"/>
              <w:rPr>
                <w:rFonts w:ascii="仿宋_GB2312" w:eastAsia="仿宋_GB2312"/>
                <w:sz w:val="24"/>
              </w:rPr>
            </w:pPr>
            <w:r w:rsidRPr="007E0FD6">
              <w:rPr>
                <w:rFonts w:ascii="仿宋_GB2312" w:eastAsia="仿宋_GB2312" w:hint="eastAsia"/>
                <w:sz w:val="24"/>
              </w:rPr>
              <w:t>《中华人民共和国药品管理法实施条例》</w:t>
            </w:r>
          </w:p>
        </w:tc>
        <w:tc>
          <w:tcPr>
            <w:tcW w:w="4016" w:type="dxa"/>
            <w:vAlign w:val="center"/>
          </w:tcPr>
          <w:p w:rsidR="000B57EA" w:rsidRPr="007E0FD6" w:rsidRDefault="000B57EA" w:rsidP="00F91C5C">
            <w:pPr>
              <w:snapToGrid w:val="0"/>
              <w:rPr>
                <w:rFonts w:ascii="仿宋_GB2312" w:eastAsia="仿宋_GB2312"/>
                <w:sz w:val="24"/>
              </w:rPr>
            </w:pPr>
            <w:r w:rsidRPr="007E0FD6">
              <w:rPr>
                <w:rFonts w:ascii="仿宋_GB2312" w:eastAsia="仿宋_GB2312" w:hint="eastAsia"/>
                <w:sz w:val="24"/>
              </w:rPr>
              <w:t>取消初审后，改由国家药监局直接受理国产药品注册申请。国家药监局要通过以下措施优化服务</w:t>
            </w:r>
            <w:r>
              <w:rPr>
                <w:rFonts w:ascii="仿宋_GB2312" w:eastAsia="仿宋_GB2312" w:hint="eastAsia"/>
                <w:sz w:val="24"/>
              </w:rPr>
              <w:t>、</w:t>
            </w:r>
            <w:r w:rsidRPr="007E0FD6">
              <w:rPr>
                <w:rFonts w:ascii="仿宋_GB2312" w:eastAsia="仿宋_GB2312" w:hint="eastAsia"/>
                <w:sz w:val="24"/>
              </w:rPr>
              <w:t>加强监管：</w:t>
            </w:r>
            <w:r w:rsidRPr="00E95D7B">
              <w:rPr>
                <w:rFonts w:eastAsia="仿宋_GB2312"/>
                <w:sz w:val="24"/>
              </w:rPr>
              <w:t>1</w:t>
            </w:r>
            <w:r w:rsidRPr="007E0FD6">
              <w:rPr>
                <w:rFonts w:ascii="仿宋_GB2312" w:eastAsia="仿宋_GB2312"/>
                <w:sz w:val="24"/>
              </w:rPr>
              <w:t>．</w:t>
            </w:r>
            <w:r w:rsidRPr="007E0FD6">
              <w:rPr>
                <w:rFonts w:ascii="仿宋_GB2312" w:eastAsia="仿宋_GB2312" w:hint="eastAsia"/>
                <w:sz w:val="24"/>
              </w:rPr>
              <w:t>优化工作流程、完善工作标准，做好直接受理工作。</w:t>
            </w:r>
            <w:r w:rsidRPr="00FA29AD">
              <w:rPr>
                <w:rFonts w:eastAsia="仿宋_GB2312"/>
                <w:sz w:val="24"/>
              </w:rPr>
              <w:t>2</w:t>
            </w:r>
            <w:r w:rsidRPr="007E0FD6">
              <w:rPr>
                <w:rFonts w:ascii="仿宋_GB2312" w:eastAsia="仿宋_GB2312"/>
                <w:sz w:val="24"/>
              </w:rPr>
              <w:t>．</w:t>
            </w:r>
            <w:r w:rsidRPr="007E0FD6">
              <w:rPr>
                <w:rFonts w:ascii="仿宋_GB2312" w:eastAsia="仿宋_GB2312" w:hint="eastAsia"/>
                <w:sz w:val="24"/>
              </w:rPr>
              <w:t>提高药品注册审批人员的专业能力，用最严谨的标准、最严格的监管、最严厉的处罚、最严肃的问责、严格实施技术审评和审批，把牢药品注册上市关口，切实加强药品安全监管。</w:t>
            </w:r>
          </w:p>
        </w:tc>
        <w:tc>
          <w:tcPr>
            <w:tcW w:w="1521" w:type="dxa"/>
            <w:vAlign w:val="center"/>
          </w:tcPr>
          <w:p w:rsidR="000B57EA" w:rsidRPr="007E0FD6" w:rsidRDefault="000B57EA" w:rsidP="00F91C5C">
            <w:pPr>
              <w:snapToGrid w:val="0"/>
              <w:rPr>
                <w:rFonts w:ascii="仿宋_GB2312" w:eastAsia="仿宋_GB2312"/>
                <w:sz w:val="24"/>
              </w:rPr>
            </w:pPr>
            <w:r w:rsidRPr="007E0FD6">
              <w:rPr>
                <w:rFonts w:ascii="仿宋_GB2312" w:eastAsia="仿宋_GB2312" w:hint="eastAsia"/>
                <w:sz w:val="24"/>
              </w:rPr>
              <w:t>对应取消天津市市级初审上报国家部委审批行政许可事项“国产药品注册初审”。</w:t>
            </w:r>
          </w:p>
        </w:tc>
      </w:tr>
    </w:tbl>
    <w:p w:rsidR="000B57EA" w:rsidRDefault="000B57EA" w:rsidP="000B57EA">
      <w:pPr>
        <w:snapToGrid w:val="0"/>
        <w:spacing w:line="600" w:lineRule="exact"/>
        <w:jc w:val="center"/>
        <w:rPr>
          <w:rFonts w:ascii="方正小标宋简体" w:eastAsia="方正小标宋简体" w:hint="eastAsia"/>
          <w:sz w:val="44"/>
          <w:szCs w:val="44"/>
        </w:rPr>
      </w:pPr>
    </w:p>
    <w:p w:rsidR="000B57EA" w:rsidRDefault="000B57EA" w:rsidP="000B57EA">
      <w:pPr>
        <w:snapToGrid w:val="0"/>
        <w:spacing w:line="600" w:lineRule="exact"/>
        <w:jc w:val="center"/>
        <w:rPr>
          <w:rFonts w:ascii="方正小标宋简体" w:eastAsia="方正小标宋简体" w:hint="eastAsia"/>
          <w:sz w:val="44"/>
          <w:szCs w:val="44"/>
        </w:rPr>
      </w:pPr>
    </w:p>
    <w:p w:rsidR="000B57EA" w:rsidRDefault="000B57EA" w:rsidP="000B57EA">
      <w:pPr>
        <w:snapToGrid w:val="0"/>
        <w:spacing w:line="600" w:lineRule="exact"/>
        <w:jc w:val="center"/>
        <w:rPr>
          <w:rFonts w:ascii="方正小标宋简体" w:eastAsia="方正小标宋简体" w:hint="eastAsia"/>
          <w:sz w:val="44"/>
          <w:szCs w:val="44"/>
        </w:rPr>
      </w:pPr>
    </w:p>
    <w:p w:rsidR="000B57EA" w:rsidRDefault="000B57EA" w:rsidP="000B57EA">
      <w:pPr>
        <w:snapToGrid w:val="0"/>
        <w:spacing w:line="600" w:lineRule="exact"/>
        <w:jc w:val="center"/>
        <w:rPr>
          <w:rFonts w:ascii="方正小标宋简体" w:eastAsia="方正小标宋简体" w:hint="eastAsia"/>
          <w:sz w:val="44"/>
          <w:szCs w:val="44"/>
        </w:rPr>
      </w:pPr>
    </w:p>
    <w:p w:rsidR="000B57EA" w:rsidRDefault="000B57EA" w:rsidP="000B57EA">
      <w:pPr>
        <w:snapToGrid w:val="0"/>
        <w:spacing w:line="600" w:lineRule="exact"/>
        <w:jc w:val="center"/>
        <w:rPr>
          <w:rFonts w:ascii="方正小标宋简体" w:eastAsia="方正小标宋简体" w:hint="eastAsia"/>
          <w:sz w:val="44"/>
          <w:szCs w:val="44"/>
        </w:rPr>
      </w:pPr>
    </w:p>
    <w:p w:rsidR="009B7904" w:rsidRPr="000B57EA" w:rsidRDefault="009B7904">
      <w:bookmarkStart w:id="0" w:name="_GoBack"/>
      <w:bookmarkEnd w:id="0"/>
    </w:p>
    <w:sectPr w:rsidR="009B7904" w:rsidRPr="000B57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仿宋">
    <w:altName w:val="Arial Unicode MS"/>
    <w:charset w:val="86"/>
    <w:family w:val="auto"/>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星标宋">
    <w:altName w:val="Arial Unicode MS"/>
    <w:charset w:val="86"/>
    <w:family w:val="auto"/>
    <w:pitch w:val="variable"/>
    <w:sig w:usb0="00000000" w:usb1="080E0000" w:usb2="00000010"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7EA"/>
    <w:rsid w:val="000B57EA"/>
    <w:rsid w:val="009B7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7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B57EA"/>
    <w:rPr>
      <w:rFonts w:eastAsia="文星仿宋"/>
      <w:sz w:val="32"/>
    </w:rPr>
  </w:style>
  <w:style w:type="character" w:customStyle="1" w:styleId="Char">
    <w:name w:val="正文文本 Char"/>
    <w:basedOn w:val="a0"/>
    <w:link w:val="a3"/>
    <w:rsid w:val="000B57EA"/>
    <w:rPr>
      <w:rFonts w:ascii="Times New Roman" w:eastAsia="文星仿宋" w:hAnsi="Times New Roman"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7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B57EA"/>
    <w:rPr>
      <w:rFonts w:eastAsia="文星仿宋"/>
      <w:sz w:val="32"/>
    </w:rPr>
  </w:style>
  <w:style w:type="character" w:customStyle="1" w:styleId="Char">
    <w:name w:val="正文文本 Char"/>
    <w:basedOn w:val="a0"/>
    <w:link w:val="a3"/>
    <w:rsid w:val="000B57EA"/>
    <w:rPr>
      <w:rFonts w:ascii="Times New Roman" w:eastAsia="文星仿宋"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2019-05-31T01:56:00Z</dcterms:created>
  <dcterms:modified xsi:type="dcterms:W3CDTF">2019-05-31T01:56:00Z</dcterms:modified>
</cp:coreProperties>
</file>