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D5981">
      <w:pPr>
        <w:keepNext w:val="0"/>
        <w:keepLines w:val="0"/>
        <w:pageBreakBefore w:val="0"/>
        <w:widowControl w:val="0"/>
        <w:tabs>
          <w:tab w:val="left" w:pos="7920"/>
        </w:tabs>
        <w:kinsoku/>
        <w:wordWrap/>
        <w:overflowPunct/>
        <w:topLinePunct w:val="0"/>
        <w:autoSpaceDE/>
        <w:autoSpaceDN/>
        <w:bidi w:val="0"/>
        <w:adjustRightInd w:val="0"/>
        <w:snapToGrid w:val="0"/>
        <w:spacing w:line="580" w:lineRule="exact"/>
        <w:ind w:firstLine="0" w:firstLineChars="0"/>
        <w:jc w:val="center"/>
        <w:textAlignment w:val="auto"/>
        <w:rPr>
          <w:rFonts w:hint="eastAsia" w:ascii="Times New Roman" w:hAnsi="Times New Roman" w:eastAsia="方正小标宋简体" w:cs="Times New Roman"/>
          <w:kern w:val="2"/>
          <w:sz w:val="44"/>
          <w:szCs w:val="44"/>
          <w:highlight w:val="none"/>
          <w:lang w:val="en-US" w:eastAsia="zh-CN" w:bidi="ar-SA"/>
        </w:rPr>
      </w:pPr>
      <w:bookmarkStart w:id="1" w:name="_GoBack"/>
    </w:p>
    <w:p w14:paraId="13B684F3">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r>
        <w:rPr>
          <w:rFonts w:hint="eastAsia" w:ascii="Times New Roman" w:hAnsi="Times New Roman" w:eastAsia="方正小标宋简体" w:cs="Times New Roman"/>
          <w:kern w:val="2"/>
          <w:sz w:val="44"/>
          <w:szCs w:val="44"/>
          <w:highlight w:val="none"/>
          <w:lang w:val="en-US" w:eastAsia="zh-CN" w:bidi="ar-SA"/>
        </w:rPr>
        <w:t>天津市制造业</w:t>
      </w:r>
      <w:r>
        <w:rPr>
          <w:rFonts w:hint="default" w:ascii="Times New Roman" w:hAnsi="Times New Roman" w:eastAsia="方正小标宋简体" w:cs="Times New Roman"/>
          <w:kern w:val="2"/>
          <w:sz w:val="44"/>
          <w:szCs w:val="44"/>
          <w:highlight w:val="none"/>
          <w:lang w:val="en-US" w:eastAsia="zh-CN" w:bidi="ar-SA"/>
        </w:rPr>
        <w:t>数字化转型服务商</w:t>
      </w:r>
    </w:p>
    <w:p w14:paraId="0BE64E72">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r>
        <w:rPr>
          <w:rFonts w:hint="eastAsia" w:ascii="Times New Roman" w:hAnsi="Times New Roman" w:eastAsia="方正小标宋简体" w:cs="Times New Roman"/>
          <w:kern w:val="2"/>
          <w:sz w:val="44"/>
          <w:szCs w:val="44"/>
          <w:highlight w:val="none"/>
          <w:lang w:val="en-US" w:eastAsia="zh-CN" w:bidi="ar-SA"/>
        </w:rPr>
        <w:t>及促进中心管理规范</w:t>
      </w:r>
    </w:p>
    <w:p w14:paraId="6BE23156">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r>
        <w:rPr>
          <w:rFonts w:hint="eastAsia" w:ascii="Times New Roman" w:hAnsi="Times New Roman" w:eastAsia="方正小标宋简体" w:cs="Times New Roman"/>
          <w:kern w:val="2"/>
          <w:sz w:val="44"/>
          <w:szCs w:val="44"/>
          <w:highlight w:val="none"/>
          <w:lang w:val="en-US" w:eastAsia="zh-CN" w:bidi="ar-SA"/>
        </w:rPr>
        <w:t>（征求意见稿）</w:t>
      </w:r>
    </w:p>
    <w:p w14:paraId="0A1B0D48">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10ABB3B5">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45F6FA5C">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firstLine="3520" w:firstLineChars="11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总则</w:t>
      </w:r>
    </w:p>
    <w:p w14:paraId="4C366A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楷体_GB2312" w:hAnsi="楷体_GB2312" w:eastAsia="楷体_GB2312" w:cs="楷体_GB2312"/>
          <w:color w:val="auto"/>
          <w:sz w:val="32"/>
          <w:szCs w:val="32"/>
          <w:highlight w:val="none"/>
          <w:lang w:val="en-US" w:eastAsia="zh-CN"/>
        </w:rPr>
      </w:pPr>
    </w:p>
    <w:p w14:paraId="31CA4A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color w:val="auto"/>
          <w:sz w:val="32"/>
          <w:szCs w:val="32"/>
          <w:highlight w:val="none"/>
          <w:lang w:val="en-US" w:eastAsia="zh-CN"/>
        </w:rPr>
        <w:t>第一条</w:t>
      </w:r>
      <w:r>
        <w:rPr>
          <w:rFonts w:hint="default" w:ascii="Times New Roman" w:hAnsi="Times New Roman" w:eastAsia="仿宋_GB2312" w:cs="Times New Roman"/>
          <w:color w:val="auto"/>
          <w:sz w:val="32"/>
          <w:szCs w:val="24"/>
          <w:lang w:val="en-US" w:eastAsia="zh-CN"/>
        </w:rPr>
        <w:t xml:space="preserve">  </w:t>
      </w:r>
      <w:bookmarkStart w:id="0" w:name="OLE_LINK1"/>
      <w:r>
        <w:rPr>
          <w:rFonts w:hint="eastAsia" w:ascii="仿宋_GB2312" w:hAnsi="仿宋_GB2312" w:eastAsia="仿宋_GB2312" w:cs="仿宋_GB2312"/>
          <w:color w:val="auto"/>
          <w:sz w:val="32"/>
          <w:szCs w:val="24"/>
          <w:lang w:val="en-US" w:eastAsia="zh-CN"/>
        </w:rPr>
        <w:t>为落实国务院《制造业数字化转型行动方案》（国办发〔2024〕25号）、《天津市制造业数字化转型实施方案》（津政办发〔2024〕42号）等相关文件，进一步建立健全制造业数字化转型服务体系，推动制造业数字化转型服务提质增效，提升服务供给能力，营造良好的数字化转型生态，结合我市实际，制定本办法</w:t>
      </w:r>
      <w:r>
        <w:rPr>
          <w:rFonts w:hint="default" w:ascii="Times New Roman" w:hAnsi="Times New Roman" w:eastAsia="仿宋_GB2312" w:cs="Times New Roman"/>
          <w:color w:val="auto"/>
          <w:kern w:val="2"/>
          <w:sz w:val="32"/>
          <w:szCs w:val="24"/>
          <w:lang w:val="en-US" w:eastAsia="zh-CN" w:bidi="ar-SA"/>
        </w:rPr>
        <w:t>。</w:t>
      </w:r>
    </w:p>
    <w:bookmarkEnd w:id="0"/>
    <w:p w14:paraId="6B7D07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Calibri" w:eastAsia="仿宋_GB2312" w:cs="Times New Roman"/>
          <w:color w:val="000000"/>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color w:val="auto"/>
          <w:sz w:val="32"/>
          <w:szCs w:val="32"/>
          <w:highlight w:val="none"/>
          <w:lang w:val="en-US" w:eastAsia="zh-CN"/>
        </w:rPr>
        <w:t>第</w:t>
      </w:r>
      <w:r>
        <w:rPr>
          <w:rFonts w:hint="eastAsia" w:ascii="黑体" w:hAnsi="黑体" w:eastAsia="黑体" w:cs="黑体"/>
          <w:color w:val="auto"/>
          <w:sz w:val="32"/>
          <w:szCs w:val="32"/>
          <w:highlight w:val="none"/>
          <w:lang w:val="en-US" w:eastAsia="zh-CN"/>
        </w:rPr>
        <w:t>二</w:t>
      </w:r>
      <w:r>
        <w:rPr>
          <w:rFonts w:hint="default" w:ascii="黑体" w:hAnsi="黑体" w:eastAsia="黑体" w:cs="黑体"/>
          <w:color w:val="auto"/>
          <w:sz w:val="32"/>
          <w:szCs w:val="32"/>
          <w:highlight w:val="none"/>
          <w:lang w:val="en-US" w:eastAsia="zh-CN"/>
        </w:rPr>
        <w:t>条</w:t>
      </w:r>
      <w:r>
        <w:rPr>
          <w:rFonts w:hint="default" w:ascii="Times New Roman" w:hAnsi="Times New Roman" w:eastAsia="仿宋_GB2312" w:cs="Times New Roman"/>
          <w:color w:val="auto"/>
          <w:sz w:val="32"/>
          <w:szCs w:val="24"/>
          <w:lang w:val="en-US" w:eastAsia="zh-CN"/>
        </w:rPr>
        <w:t xml:space="preserve">  </w:t>
      </w:r>
      <w:r>
        <w:rPr>
          <w:rFonts w:hint="eastAsia" w:ascii="仿宋_GB2312" w:hAnsi="仿宋_GB2312" w:eastAsia="仿宋_GB2312" w:cs="仿宋_GB2312"/>
          <w:sz w:val="32"/>
          <w:szCs w:val="32"/>
          <w:highlight w:val="none"/>
          <w:lang w:val="en-US" w:eastAsia="zh-CN"/>
        </w:rPr>
        <w:t>本办法适用于天津市行政区域内制造业数字化转型服务商（以下简称“服务商”）与制造业数字化转型促进中心（以下简称“促进中心”）的遴选（创建）、管理、监督等相关工作。</w:t>
      </w:r>
    </w:p>
    <w:p w14:paraId="035D0865">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color w:val="000000"/>
          <w:kern w:val="2"/>
          <w:sz w:val="32"/>
          <w:szCs w:val="32"/>
          <w:lang w:val="en-US" w:eastAsia="zh-CN" w:bidi="ar-SA"/>
        </w:rPr>
      </w:pPr>
      <w:r>
        <w:rPr>
          <w:rFonts w:hint="eastAsia" w:ascii="黑体" w:hAnsi="黑体" w:eastAsia="黑体" w:cs="黑体"/>
          <w:color w:val="auto"/>
          <w:sz w:val="32"/>
          <w:szCs w:val="32"/>
          <w:highlight w:val="none"/>
          <w:lang w:val="en-US" w:eastAsia="zh-CN"/>
        </w:rPr>
        <w:t>第三条</w:t>
      </w:r>
      <w:r>
        <w:rPr>
          <w:rFonts w:hint="eastAsia" w:ascii="仿宋_GB2312" w:hAnsi="Times New Roman" w:eastAsia="仿宋_GB2312" w:cs="Times New Roman"/>
          <w:color w:val="000000"/>
          <w:kern w:val="2"/>
          <w:sz w:val="32"/>
          <w:szCs w:val="32"/>
          <w:lang w:val="en-US" w:eastAsia="zh-CN" w:bidi="ar-SA"/>
        </w:rPr>
        <w:t xml:space="preserve">  市工业和信息化局负责组织服务商的遴选、评价等工作，发布年度申报通知，组织评审，</w:t>
      </w:r>
      <w:r>
        <w:rPr>
          <w:rFonts w:hint="eastAsia" w:ascii="仿宋_GB2312" w:hAnsi="仿宋_GB2312" w:eastAsia="仿宋_GB2312" w:cs="仿宋_GB2312"/>
          <w:bCs/>
          <w:kern w:val="2"/>
          <w:sz w:val="32"/>
          <w:szCs w:val="32"/>
          <w:lang w:val="en-US" w:eastAsia="zh-CN" w:bidi="zh-CN"/>
        </w:rPr>
        <w:t>对入选服务商进行动态管理和监督评价</w:t>
      </w:r>
      <w:r>
        <w:rPr>
          <w:rFonts w:hint="eastAsia" w:ascii="仿宋_GB2312" w:hAnsi="Times New Roman" w:eastAsia="仿宋_GB2312" w:cs="Times New Roman"/>
          <w:color w:val="000000"/>
          <w:kern w:val="2"/>
          <w:sz w:val="32"/>
          <w:szCs w:val="32"/>
          <w:lang w:val="en-US" w:eastAsia="zh-CN" w:bidi="ar-SA"/>
        </w:rPr>
        <w:t>，</w:t>
      </w:r>
      <w:r>
        <w:rPr>
          <w:rFonts w:hint="eastAsia" w:ascii="仿宋_GB2312" w:hAnsi="Times New Roman" w:eastAsia="仿宋_GB2312" w:cs="Times New Roman"/>
          <w:kern w:val="2"/>
          <w:sz w:val="32"/>
          <w:szCs w:val="32"/>
          <w:highlight w:val="none"/>
          <w:lang w:val="en-US" w:eastAsia="zh-CN" w:bidi="ar-SA"/>
        </w:rPr>
        <w:t>搭建</w:t>
      </w:r>
      <w:r>
        <w:rPr>
          <w:rFonts w:hint="eastAsia" w:ascii="Times New Roman" w:hAnsi="Times New Roman" w:eastAsia="仿宋_GB2312" w:cs="Times New Roman"/>
          <w:color w:val="auto"/>
          <w:kern w:val="2"/>
          <w:sz w:val="32"/>
          <w:szCs w:val="32"/>
          <w:lang w:val="en-US" w:eastAsia="zh-CN" w:bidi="ar-SA"/>
        </w:rPr>
        <w:t>天津市</w:t>
      </w:r>
      <w:r>
        <w:rPr>
          <w:rFonts w:hint="eastAsia" w:ascii="仿宋_GB2312" w:hAnsi="Times New Roman" w:eastAsia="仿宋_GB2312" w:cs="Times New Roman"/>
          <w:kern w:val="2"/>
          <w:sz w:val="32"/>
          <w:szCs w:val="32"/>
          <w:highlight w:val="none"/>
          <w:lang w:val="en-US" w:eastAsia="zh-CN" w:bidi="ar-SA"/>
        </w:rPr>
        <w:t>制造业数字化转型服务商资源池</w:t>
      </w:r>
      <w:r>
        <w:rPr>
          <w:rFonts w:hint="eastAsia" w:ascii="Times New Roman" w:hAnsi="Times New Roman" w:eastAsia="仿宋_GB2312" w:cs="Times New Roman"/>
          <w:color w:val="auto"/>
          <w:kern w:val="2"/>
          <w:sz w:val="32"/>
          <w:szCs w:val="32"/>
          <w:lang w:val="en-US" w:eastAsia="zh-CN" w:bidi="ar-SA"/>
        </w:rPr>
        <w:t>（以下简称“资源池”）；负责统筹推进市级促进中心创建工作，定期组织促进中心开展自评估。</w:t>
      </w:r>
      <w:r>
        <w:rPr>
          <w:rFonts w:hint="eastAsia" w:ascii="仿宋_GB2312" w:hAnsi="Times New Roman" w:eastAsia="仿宋_GB2312" w:cs="Times New Roman"/>
          <w:color w:val="000000"/>
          <w:kern w:val="2"/>
          <w:sz w:val="32"/>
          <w:szCs w:val="32"/>
          <w:lang w:val="en-US" w:eastAsia="zh-CN" w:bidi="ar-SA"/>
        </w:rPr>
        <w:t>各区工业和信息化主管部门负责本区域内服务商与促进中心的初审推荐，协助市工业和信息化局做好</w:t>
      </w:r>
      <w:r>
        <w:rPr>
          <w:rFonts w:hint="eastAsia" w:ascii="仿宋_GB2312" w:hAnsi="仿宋_GB2312" w:eastAsia="仿宋_GB2312" w:cs="仿宋_GB2312"/>
          <w:bCs/>
          <w:kern w:val="2"/>
          <w:sz w:val="32"/>
          <w:szCs w:val="32"/>
          <w:lang w:val="en-US" w:eastAsia="zh-CN" w:bidi="zh-CN"/>
        </w:rPr>
        <w:t>“资源池”</w:t>
      </w:r>
      <w:r>
        <w:rPr>
          <w:rFonts w:hint="eastAsia" w:ascii="仿宋_GB2312" w:hAnsi="Times New Roman" w:eastAsia="仿宋_GB2312" w:cs="Times New Roman"/>
          <w:color w:val="000000"/>
          <w:kern w:val="2"/>
          <w:sz w:val="32"/>
          <w:szCs w:val="32"/>
          <w:lang w:val="en-US" w:eastAsia="zh-CN" w:bidi="ar-SA"/>
        </w:rPr>
        <w:t>的宣传、推广、监督等工作，加强对促进中心的常态化工作协同、业务指导和跟踪问效。</w:t>
      </w:r>
    </w:p>
    <w:p w14:paraId="17182C64">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color w:val="000000"/>
          <w:kern w:val="2"/>
          <w:sz w:val="32"/>
          <w:szCs w:val="32"/>
          <w:lang w:val="en-US" w:eastAsia="zh-CN" w:bidi="ar-SA"/>
        </w:rPr>
      </w:pPr>
    </w:p>
    <w:p w14:paraId="44AB6A04">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服务商管理规范</w:t>
      </w:r>
    </w:p>
    <w:p w14:paraId="665B44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楷体_GB2312" w:hAnsi="楷体_GB2312" w:eastAsia="楷体_GB2312" w:cs="楷体_GB2312"/>
          <w:sz w:val="32"/>
          <w:szCs w:val="32"/>
          <w:highlight w:val="none"/>
          <w:lang w:val="en-US" w:eastAsia="zh-CN"/>
        </w:rPr>
      </w:pPr>
    </w:p>
    <w:p w14:paraId="48002B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华文中宋" w:eastAsia="仿宋_GB2312" w:cs="Times New Roman"/>
          <w:kern w:val="0"/>
          <w:sz w:val="24"/>
          <w:szCs w:val="24"/>
          <w:lang w:val="en-US" w:eastAsia="zh-CN" w:bidi="ar-SA"/>
        </w:rPr>
      </w:pPr>
      <w:r>
        <w:rPr>
          <w:rFonts w:hint="eastAsia" w:ascii="黑体" w:hAnsi="黑体" w:eastAsia="黑体" w:cs="黑体"/>
          <w:color w:val="auto"/>
          <w:sz w:val="32"/>
          <w:szCs w:val="32"/>
          <w:highlight w:val="none"/>
          <w:lang w:val="en-US" w:eastAsia="zh-CN"/>
        </w:rPr>
        <w:t xml:space="preserve">第四条  </w:t>
      </w:r>
      <w:r>
        <w:rPr>
          <w:rFonts w:hint="eastAsia" w:ascii="Times New Roman" w:hAnsi="Times New Roman" w:eastAsia="仿宋_GB2312" w:cs="Times New Roman"/>
          <w:sz w:val="32"/>
          <w:szCs w:val="32"/>
          <w:highlight w:val="none"/>
          <w:lang w:val="en-US" w:eastAsia="zh-CN"/>
        </w:rPr>
        <w:t>根据国家标准《数字化转型服务商分类分级评价规范》（GB/T 47018-2026），本管理规范所称服务商包括数字化咨询服务商、数字化评测服务商、数字化运营服务商、数字化研发服务商、数字化生产服务商、数字化</w:t>
      </w:r>
      <w:r>
        <w:rPr>
          <w:rFonts w:hint="eastAsia" w:ascii="Times New Roman" w:hAnsi="Times New Roman" w:eastAsia="仿宋_GB2312" w:cs="Times New Roman"/>
          <w:b w:val="0"/>
          <w:bCs w:val="0"/>
          <w:sz w:val="32"/>
          <w:szCs w:val="32"/>
          <w:highlight w:val="none"/>
          <w:lang w:val="en-US" w:eastAsia="zh-CN"/>
        </w:rPr>
        <w:t>解决方案</w:t>
      </w:r>
      <w:r>
        <w:rPr>
          <w:rFonts w:hint="eastAsia" w:ascii="Times New Roman" w:hAnsi="Times New Roman" w:eastAsia="仿宋_GB2312" w:cs="Times New Roman"/>
          <w:sz w:val="32"/>
          <w:szCs w:val="32"/>
          <w:highlight w:val="none"/>
          <w:lang w:val="en-US" w:eastAsia="zh-CN"/>
        </w:rPr>
        <w:t>服务商、数字化基建服务商、数字化设备服务商，以及具有从咨询规划到具体项目实施及数字化转型设备设施配套的服务能力、同时兼具四类其他服务商的部分或全部子类的数字化综合服务商。</w:t>
      </w:r>
    </w:p>
    <w:p w14:paraId="1045CE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黑体" w:hAnsi="黑体" w:eastAsia="黑体" w:cs="黑体"/>
          <w:color w:val="auto"/>
          <w:sz w:val="32"/>
          <w:szCs w:val="32"/>
          <w:highlight w:val="none"/>
          <w:lang w:val="en-US" w:eastAsia="zh-CN"/>
        </w:rPr>
        <w:t>第五条</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trike w:val="0"/>
          <w:sz w:val="32"/>
          <w:szCs w:val="32"/>
          <w:highlight w:val="none"/>
          <w:lang w:val="en-US" w:eastAsia="zh-CN"/>
        </w:rPr>
        <w:t>入选资源池的服务商需具备下列基本条件</w:t>
      </w:r>
      <w:r>
        <w:rPr>
          <w:rFonts w:hint="eastAsia" w:ascii="Times New Roman" w:hAnsi="Times New Roman" w:eastAsia="仿宋_GB2312" w:cs="Times New Roman"/>
          <w:sz w:val="32"/>
          <w:szCs w:val="32"/>
          <w:highlight w:val="none"/>
          <w:lang w:val="en-US" w:eastAsia="zh-CN"/>
        </w:rPr>
        <w:t>：</w:t>
      </w:r>
    </w:p>
    <w:p w14:paraId="27102B59">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（一）具备独立法人资格，财务管理制度健全，运营状况良好，近三年无触犯国家法律法规的行为、无不正当竞争行为，未列入严重失信主体名单，具有良好的资信和公众形象。</w:t>
      </w:r>
    </w:p>
    <w:p w14:paraId="0794C7FA">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（二）具有较强的本地化服务能力，在本地具有固定办公场所，服务队伍的人员数量和构成相对稳定，具备较丰富的行业服务经验。</w:t>
      </w:r>
    </w:p>
    <w:p w14:paraId="43993582">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（三）运营和财务状况良好，在特定行业/领域或专业方向具备领先能力水平，具有一定的声誉和影响力。</w:t>
      </w:r>
    </w:p>
    <w:p w14:paraId="5F1E0E50">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sz w:val="32"/>
          <w:szCs w:val="32"/>
          <w:highlight w:val="none"/>
        </w:rPr>
        <w:t>（四）服务制造业企业数字化转型取得较好成效，具有一定的企业用户基础，市场反馈良好，在天津市内拥有一定数量已实施完成或正在实施的应用实践案例。</w:t>
      </w:r>
    </w:p>
    <w:p w14:paraId="75B321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highlight w:val="none"/>
          <w:lang w:val="en-US" w:eastAsia="zh-CN"/>
        </w:rPr>
        <w:t>申报评价程序</w:t>
      </w:r>
    </w:p>
    <w:p w14:paraId="24E4D8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（一）市工业和信息化局发布开展服务商遴选和评价工作通知，对当年遴选工作提出具体要求，服务商按照自愿申报原则，对照通知要求，向所在区工业和信息化主管部门提出申请，按要求提交申报材料。</w:t>
      </w:r>
    </w:p>
    <w:p w14:paraId="1DE30A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（二）各区工业和信息化主管部门对申报材料进行初审，出具推荐函，汇总《推荐信息汇总表》，按照要求将申报材料、推荐函与汇总表盖章件提交到市工业和信息化局。</w:t>
      </w:r>
    </w:p>
    <w:p w14:paraId="0404F2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市工业和信息化局组织第三方机构（专家）对资源池申报单位进行评审，</w:t>
      </w:r>
      <w:r>
        <w:rPr>
          <w:rFonts w:hint="eastAsia" w:ascii="Times New Roman" w:hAnsi="Times New Roman" w:eastAsia="仿宋_GB2312" w:cs="Times New Roman"/>
          <w:color w:val="auto"/>
          <w:sz w:val="32"/>
          <w:szCs w:val="32"/>
          <w:highlight w:val="none"/>
          <w:lang w:eastAsia="zh-CN"/>
        </w:rPr>
        <w:t>提出</w:t>
      </w:r>
      <w:r>
        <w:rPr>
          <w:rFonts w:hint="eastAsia" w:ascii="Times New Roman" w:hAnsi="Times New Roman" w:eastAsia="仿宋_GB2312" w:cs="Times New Roman"/>
          <w:color w:val="auto"/>
          <w:sz w:val="32"/>
          <w:szCs w:val="32"/>
          <w:highlight w:val="none"/>
          <w:lang w:val="en-US" w:eastAsia="zh-CN"/>
        </w:rPr>
        <w:t>综</w:t>
      </w:r>
      <w:r>
        <w:rPr>
          <w:rFonts w:hint="eastAsia" w:ascii="Times New Roman" w:hAnsi="Times New Roman" w:eastAsia="仿宋_GB2312" w:cs="Times New Roman"/>
          <w:sz w:val="32"/>
          <w:szCs w:val="32"/>
          <w:highlight w:val="none"/>
          <w:lang w:val="en-US" w:eastAsia="zh-CN"/>
        </w:rPr>
        <w:t>合评定</w:t>
      </w:r>
      <w:r>
        <w:rPr>
          <w:rFonts w:hint="eastAsia" w:ascii="Times New Roman" w:hAnsi="Times New Roman" w:eastAsia="仿宋_GB2312" w:cs="Times New Roman"/>
          <w:sz w:val="32"/>
          <w:szCs w:val="32"/>
          <w:highlight w:val="none"/>
          <w:lang w:eastAsia="zh-CN"/>
        </w:rPr>
        <w:t>意见，</w:t>
      </w:r>
      <w:r>
        <w:rPr>
          <w:rFonts w:hint="eastAsia" w:ascii="Times New Roman" w:hAnsi="Times New Roman" w:eastAsia="仿宋_GB2312" w:cs="Times New Roman"/>
          <w:sz w:val="32"/>
          <w:szCs w:val="32"/>
          <w:highlight w:val="none"/>
          <w:lang w:val="en-US" w:eastAsia="zh-CN"/>
        </w:rPr>
        <w:t>初步</w:t>
      </w:r>
      <w:r>
        <w:rPr>
          <w:rFonts w:hint="eastAsia" w:ascii="Times New Roman" w:hAnsi="Times New Roman" w:eastAsia="仿宋_GB2312" w:cs="Times New Roman"/>
          <w:sz w:val="32"/>
          <w:szCs w:val="32"/>
          <w:highlight w:val="none"/>
          <w:lang w:eastAsia="zh-CN"/>
        </w:rPr>
        <w:t>确定服务</w:t>
      </w:r>
      <w:r>
        <w:rPr>
          <w:rFonts w:hint="eastAsia" w:ascii="Times New Roman" w:hAnsi="Times New Roman" w:eastAsia="仿宋_GB2312" w:cs="Times New Roman"/>
          <w:sz w:val="32"/>
          <w:szCs w:val="32"/>
          <w:highlight w:val="none"/>
          <w:lang w:val="en-US" w:eastAsia="zh-CN"/>
        </w:rPr>
        <w:t>商</w:t>
      </w:r>
      <w:r>
        <w:rPr>
          <w:rFonts w:hint="eastAsia" w:ascii="Times New Roman" w:hAnsi="Times New Roman" w:eastAsia="仿宋_GB2312" w:cs="Times New Roman"/>
          <w:sz w:val="32"/>
          <w:szCs w:val="32"/>
          <w:highlight w:val="none"/>
          <w:lang w:eastAsia="zh-CN"/>
        </w:rPr>
        <w:t>名单，</w:t>
      </w:r>
      <w:r>
        <w:rPr>
          <w:rFonts w:hint="eastAsia" w:ascii="Times New Roman" w:hAnsi="Times New Roman" w:eastAsia="仿宋_GB2312" w:cs="Times New Roman"/>
          <w:sz w:val="32"/>
          <w:szCs w:val="32"/>
          <w:highlight w:val="none"/>
          <w:lang w:val="en-US" w:eastAsia="zh-CN"/>
        </w:rPr>
        <w:t>并向社会</w:t>
      </w:r>
      <w:r>
        <w:rPr>
          <w:rFonts w:hint="eastAsia" w:ascii="Times New Roman" w:hAnsi="Times New Roman" w:eastAsia="仿宋_GB2312" w:cs="Times New Roman"/>
          <w:sz w:val="32"/>
          <w:szCs w:val="32"/>
          <w:highlight w:val="none"/>
          <w:lang w:eastAsia="zh-CN"/>
        </w:rPr>
        <w:t>进行公示，</w:t>
      </w:r>
      <w:r>
        <w:rPr>
          <w:rFonts w:hint="eastAsia" w:ascii="Times New Roman" w:hAnsi="Times New Roman" w:eastAsia="仿宋_GB2312" w:cs="Times New Roman"/>
          <w:sz w:val="32"/>
          <w:szCs w:val="32"/>
          <w:highlight w:val="none"/>
          <w:lang w:val="en-US" w:eastAsia="zh-CN"/>
        </w:rPr>
        <w:t>公示期不少于7天，公示期满无异议的纳入“资源池”。</w:t>
      </w:r>
    </w:p>
    <w:p w14:paraId="37E3180F">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黑体" w:hAnsi="黑体" w:eastAsia="黑体" w:cs="黑体"/>
          <w:color w:val="auto"/>
          <w:sz w:val="32"/>
          <w:szCs w:val="32"/>
          <w:highlight w:val="none"/>
          <w:lang w:val="en-US" w:eastAsia="zh-CN"/>
        </w:rPr>
        <w:t>第</w:t>
      </w:r>
      <w:r>
        <w:rPr>
          <w:rFonts w:hint="eastAsia" w:ascii="黑体" w:hAnsi="黑体" w:eastAsia="黑体" w:cs="黑体"/>
          <w:color w:val="auto"/>
          <w:sz w:val="32"/>
          <w:szCs w:val="32"/>
          <w:highlight w:val="none"/>
          <w:lang w:val="en-US" w:eastAsia="zh-CN"/>
        </w:rPr>
        <w:t>七条</w:t>
      </w:r>
      <w:r>
        <w:rPr>
          <w:rFonts w:hint="eastAsia" w:ascii="楷体_GB2312" w:hAnsi="楷体_GB2312" w:eastAsia="楷体_GB2312" w:cs="楷体_GB2312"/>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服务商的分级评价</w:t>
      </w:r>
    </w:p>
    <w:p w14:paraId="67BDAB03">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市工业和信息化局制定制造业数字化转型服务商的评价标准，组织第三方机构（专家）对服务商进行评价评级。</w:t>
      </w:r>
    </w:p>
    <w:p w14:paraId="6A3A7BA5">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楷体_GB2312" w:hAnsi="楷体_GB2312" w:eastAsia="楷体_GB2312" w:cs="楷体_GB2312"/>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服务商按年度评价得分进行分级，90分以上（含90分）为优秀，80-90分（含80分）为良好，70-80分（含70分）为合格，70分以下为不合格。</w:t>
      </w:r>
    </w:p>
    <w:p w14:paraId="73635611">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default" w:ascii="黑体" w:hAnsi="黑体" w:eastAsia="黑体" w:cs="黑体"/>
          <w:color w:val="auto"/>
          <w:sz w:val="32"/>
          <w:szCs w:val="32"/>
          <w:highlight w:val="none"/>
          <w:lang w:val="en-US" w:eastAsia="zh-CN"/>
        </w:rPr>
        <w:t>第</w:t>
      </w:r>
      <w:r>
        <w:rPr>
          <w:rFonts w:hint="eastAsia" w:ascii="黑体" w:hAnsi="黑体" w:eastAsia="黑体" w:cs="黑体"/>
          <w:color w:val="auto"/>
          <w:sz w:val="32"/>
          <w:szCs w:val="32"/>
          <w:highlight w:val="none"/>
          <w:lang w:val="en-US" w:eastAsia="zh-CN"/>
        </w:rPr>
        <w:t>八条</w:t>
      </w:r>
      <w:r>
        <w:rPr>
          <w:rFonts w:hint="eastAsia" w:ascii="楷体_GB2312" w:hAnsi="楷体_GB2312" w:eastAsia="楷体_GB2312" w:cs="楷体_GB2312"/>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服务商存在以下任意一种情形，不再列入资源池，并向社会公示。</w:t>
      </w:r>
    </w:p>
    <w:p w14:paraId="7832956A">
      <w:pPr>
        <w:keepNext w:val="0"/>
        <w:keepLines w:val="0"/>
        <w:pageBreakBefore w:val="0"/>
        <w:widowControl w:val="0"/>
        <w:numPr>
          <w:ilvl w:val="0"/>
          <w:numId w:val="3"/>
        </w:numPr>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违反法律法规、</w:t>
      </w:r>
      <w:r>
        <w:rPr>
          <w:rFonts w:hint="eastAsia" w:ascii="Times New Roman" w:hAnsi="Times New Roman" w:eastAsia="仿宋_GB2312" w:cs="Times New Roman"/>
          <w:kern w:val="2"/>
          <w:sz w:val="32"/>
          <w:szCs w:val="32"/>
          <w:highlight w:val="none"/>
          <w:lang w:val="en-US" w:eastAsia="zh-CN" w:bidi="ar-SA"/>
        </w:rPr>
        <w:t>行业自律公约等被通报的；</w:t>
      </w:r>
    </w:p>
    <w:p w14:paraId="38AEF338">
      <w:pPr>
        <w:keepNext w:val="0"/>
        <w:keepLines w:val="0"/>
        <w:pageBreakBefore w:val="0"/>
        <w:widowControl w:val="0"/>
        <w:numPr>
          <w:ilvl w:val="0"/>
          <w:numId w:val="3"/>
        </w:numPr>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评级结果为不合格的；</w:t>
      </w:r>
    </w:p>
    <w:p w14:paraId="0C6133BC">
      <w:pPr>
        <w:keepNext w:val="0"/>
        <w:keepLines w:val="0"/>
        <w:pageBreakBefore w:val="0"/>
        <w:widowControl w:val="0"/>
        <w:numPr>
          <w:ilvl w:val="0"/>
          <w:numId w:val="3"/>
        </w:numPr>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拒绝接受监督检查的；</w:t>
      </w:r>
    </w:p>
    <w:p w14:paraId="6E6F1359">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（四）被企业或其他服务商投诉3次或以上并核实确认属实的；</w:t>
      </w:r>
    </w:p>
    <w:p w14:paraId="590F9446">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（五）有弄虚作假、骗取资助资金等行为的；</w:t>
      </w:r>
    </w:p>
    <w:p w14:paraId="5CC58AC4">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（六）发生重大责任事故、造成严重社会影响的；</w:t>
      </w:r>
    </w:p>
    <w:p w14:paraId="262926AA">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（七）不配合提供服务情况的；</w:t>
      </w:r>
    </w:p>
    <w:p w14:paraId="4E27A034">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（八）主动退出资源池的。</w:t>
      </w:r>
    </w:p>
    <w:p w14:paraId="12D1BA61">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p>
    <w:p w14:paraId="1B36BBD3">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促进中心管理规范</w:t>
      </w:r>
    </w:p>
    <w:p w14:paraId="27ABBE08">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jc w:val="both"/>
        <w:textAlignment w:val="auto"/>
        <w:outlineLvl w:val="9"/>
        <w:rPr>
          <w:rFonts w:hint="default" w:ascii="黑体" w:hAnsi="黑体" w:eastAsia="黑体" w:cs="黑体"/>
          <w:color w:val="auto"/>
          <w:sz w:val="32"/>
          <w:szCs w:val="32"/>
          <w:highlight w:val="none"/>
          <w:lang w:val="en-US" w:eastAsia="zh-CN"/>
        </w:rPr>
      </w:pPr>
    </w:p>
    <w:p w14:paraId="1F3CB284">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黑体" w:hAnsi="黑体" w:eastAsia="黑体" w:cs="黑体"/>
          <w:color w:val="auto"/>
          <w:sz w:val="32"/>
          <w:szCs w:val="32"/>
          <w:highlight w:val="none"/>
          <w:lang w:val="en-US" w:eastAsia="zh-CN"/>
        </w:rPr>
        <w:t>第</w:t>
      </w:r>
      <w:r>
        <w:rPr>
          <w:rFonts w:hint="eastAsia" w:ascii="黑体" w:hAnsi="黑体" w:eastAsia="黑体" w:cs="黑体"/>
          <w:color w:val="auto"/>
          <w:sz w:val="32"/>
          <w:szCs w:val="32"/>
          <w:highlight w:val="none"/>
          <w:lang w:val="en-US" w:eastAsia="zh-CN"/>
        </w:rPr>
        <w:t>九</w:t>
      </w:r>
      <w:r>
        <w:rPr>
          <w:rFonts w:hint="default" w:ascii="黑体" w:hAnsi="黑体" w:eastAsia="黑体" w:cs="黑体"/>
          <w:color w:val="auto"/>
          <w:sz w:val="32"/>
          <w:szCs w:val="32"/>
          <w:highlight w:val="none"/>
          <w:lang w:val="en-US" w:eastAsia="zh-CN"/>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创建主体</w:t>
      </w:r>
    </w:p>
    <w:p w14:paraId="578EA7A6">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黑体" w:hAnsi="黑体" w:eastAsia="黑体" w:cs="黑体"/>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促进中心依托数字化转型服务实体机构或实体机构联合体建设，主体或联合体主责单位需为依法依规设立的独立法人单位，有固定的经营服务场所，有面向行业提供数字化转型专业化服务的必要设施、条件和能力，财务收支状况良好，经营规范，具备可持续发展能力。</w:t>
      </w:r>
    </w:p>
    <w:p w14:paraId="49CF4BBE">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第十条</w:t>
      </w:r>
      <w:r>
        <w:rPr>
          <w:rFonts w:hint="eastAsia" w:ascii="Times New Roman" w:hAnsi="Times New Roman" w:eastAsia="仿宋_GB2312" w:cs="Times New Roman"/>
          <w:kern w:val="2"/>
          <w:sz w:val="32"/>
          <w:szCs w:val="32"/>
          <w:highlight w:val="none"/>
          <w:lang w:val="en-US" w:eastAsia="zh-CN" w:bidi="ar-SA"/>
        </w:rPr>
        <w:t xml:space="preserve">  主要功能</w:t>
      </w:r>
    </w:p>
    <w:p w14:paraId="261537A7">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kern w:val="2"/>
          <w:sz w:val="32"/>
          <w:szCs w:val="32"/>
          <w:highlight w:val="none"/>
          <w:lang w:val="en-US" w:eastAsia="zh-CN" w:bidi="ar-SA"/>
        </w:rPr>
        <w:t>资源整合。汇聚政产学研用金等相关资源，整合技术、产品、数据、标准、解决方案、基础设施、人才、安全防护等各类资源要素，创新运营模式和合作机制，促进数字化转型资源开放与共享。</w:t>
      </w:r>
    </w:p>
    <w:p w14:paraId="3CC40177">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kern w:val="2"/>
          <w:sz w:val="32"/>
          <w:szCs w:val="32"/>
          <w:highlight w:val="none"/>
          <w:lang w:val="en-US" w:eastAsia="zh-CN" w:bidi="ar-SA"/>
        </w:rPr>
        <w:t>生态营造。通过供需合作、产融合作、产教合作等多种形式营造制造业数字化转型良好生态，加快优秀案例和典型经验复制推广，促进政策宣贯与落实，提高制造业数字化转型实施成效。</w:t>
      </w:r>
    </w:p>
    <w:p w14:paraId="2F6EBAF4">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黑体" w:hAnsi="黑体" w:eastAsia="黑体" w:cs="黑体"/>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kern w:val="2"/>
          <w:sz w:val="32"/>
          <w:szCs w:val="32"/>
          <w:highlight w:val="none"/>
          <w:lang w:val="en-US" w:eastAsia="zh-CN" w:bidi="ar-SA"/>
        </w:rPr>
        <w:t>专业服务。面向企业提供评估咨询、技术集成、方案开发、改造总包等专业服务，面向行业积累数据集、模型库、工艺包等，促进行业知识经验沉淀、转化与复用。</w:t>
      </w:r>
    </w:p>
    <w:p w14:paraId="0758A769">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 xml:space="preserve">第十一条  </w:t>
      </w:r>
      <w:r>
        <w:rPr>
          <w:rFonts w:hint="eastAsia" w:ascii="Times New Roman" w:hAnsi="Times New Roman" w:eastAsia="仿宋_GB2312" w:cs="Times New Roman"/>
          <w:kern w:val="2"/>
          <w:sz w:val="32"/>
          <w:szCs w:val="32"/>
          <w:highlight w:val="none"/>
          <w:lang w:val="en-US" w:eastAsia="zh-CN" w:bidi="ar-SA"/>
        </w:rPr>
        <w:t>重点内容</w:t>
      </w:r>
    </w:p>
    <w:p w14:paraId="6D8705AE">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（一）评估咨询。基于制造业数字化转型通用评估指标体系以及重点行业数字化转型成熟度评估标准，提供数字化转型诊断评估方法工具，开展评估诊断，推动规上工业企业数字化转型“建档立卡”。</w:t>
      </w:r>
    </w:p>
    <w:p w14:paraId="33CB30E7">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方案开发。面向重点行业提炼典型场景，组织工业企业和专业化服务商开展转型方案联合开发、集成适配、测试验证，避免“二次开发”。面向行业企业突出标准化、模块化、货架式，面向中小企业突出低成本、易部署、“小快轻准”，打造行业数字化解决方案资源池。</w:t>
      </w:r>
    </w:p>
    <w:p w14:paraId="77B9BE75">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项目实施。发挥工程总包角色，组织专业化服务商共同开展企业改造项目实施，提供工程监理、后期运维等全流程服务，打造“诊断咨询+货架产品+服务商让利+金企对接+人才实训”一揽子服务体系。建立与项目实施相匹配的制度、流程、标准和保障措施，探索合理运营模式。</w:t>
      </w:r>
    </w:p>
    <w:p w14:paraId="2324322E">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供需对接。围绕技术、产品、解决方案等供给侧资源和行业企业实际业务需求，组织开展供需对接，促进数字化转型服务资源跨区域协同，打造重点行业数字化转型生态联盟。组织专业化服务商进园区、进集群，建设解决方案测试体验和应用推广平台，开展解决方案集体采购，组织行业企业批量改造，促进行业企业与专业化服务商深度合作。</w:t>
      </w:r>
    </w:p>
    <w:p w14:paraId="3AF93161">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设施联通。整合汇聚网络、平台、算力等各类基础设施资源，为企业提供优质资源推荐、低成本资源共享和多类型资源集成应用等服务。针对软件、装备、工艺等检验检测和仿真验证需求，提供设施共享和产品评测服务。联合运营商等帮助企业部署5G、TSN、云计算等新型网络技术，建设组网灵活、接入便捷、带宽可调、安全可靠的云网融合体系。</w:t>
      </w:r>
    </w:p>
    <w:p w14:paraId="64B6E9EE">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六）数据共享。协同行业企业、研究机构、工业互联网平台、专业化服务商等，面向重点行业建设高质量数据库，实现相关模型、算法、知识的汇聚、沉淀和复用。推进政府侧数据与企业侧数据互通共享。联合专业机构建设必要的网络和数据安全保障能力，建立风险预警和应急处置机制。</w:t>
      </w:r>
    </w:p>
    <w:p w14:paraId="42914C74">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七）人才培训。提供标准化与定制化相结合的人才培训实训服务，培育更多熟悉行业生产流程和工艺机理、具备数字化技能的复合型人才队伍，打造人才培训实训基地。面向数字化系统运维、设备故障检测等共性需求，组织行业技术人员与软硬件开发工程师、网络工程师等深度协作，组建专职顾问团队。组织开展人才交流合作。</w:t>
      </w:r>
    </w:p>
    <w:p w14:paraId="78DFF6E4">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八）政策宣贯。开展政策、标准等进园区、进集群系列活动，加强数字化转型政策解读和标准宣贯。编发重点行业、区域优秀案例集，宣传先进理念、技术产品和解决方案，推广典型经验和模式。开展重点区域、重点行业数字化转型跟踪监测，共享行业发展动态，组织企业比学互鉴。</w:t>
      </w:r>
    </w:p>
    <w:p w14:paraId="6406136B">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default" w:ascii="黑体" w:hAnsi="黑体" w:eastAsia="黑体" w:cs="黑体"/>
          <w:color w:val="auto"/>
          <w:sz w:val="32"/>
          <w:szCs w:val="32"/>
          <w:highlight w:val="none"/>
          <w:lang w:val="en-US" w:eastAsia="zh-CN"/>
        </w:rPr>
        <w:t>第十</w:t>
      </w:r>
      <w:r>
        <w:rPr>
          <w:rFonts w:hint="eastAsia" w:ascii="黑体" w:hAnsi="黑体" w:eastAsia="黑体" w:cs="黑体"/>
          <w:color w:val="auto"/>
          <w:sz w:val="32"/>
          <w:szCs w:val="32"/>
          <w:highlight w:val="none"/>
          <w:lang w:val="en-US" w:eastAsia="zh-CN"/>
        </w:rPr>
        <w:t>二</w:t>
      </w:r>
      <w:r>
        <w:rPr>
          <w:rFonts w:hint="default" w:ascii="黑体" w:hAnsi="黑体" w:eastAsia="黑体" w:cs="黑体"/>
          <w:color w:val="auto"/>
          <w:sz w:val="32"/>
          <w:szCs w:val="32"/>
          <w:highlight w:val="none"/>
          <w:lang w:val="en-US" w:eastAsia="zh-CN"/>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建设条件</w:t>
      </w:r>
    </w:p>
    <w:p w14:paraId="771D7F52">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开展促进中心建设运营的牵头单位应为注册的独立法人单位，具有独立法人资格。可单独组建，也可联合相关企业、高校、科研机构和行业组织，共同开展促进中心的建设运营。对于联合申报促进中心的，牵头单位与成员单位需签订联合建设协议，协议中应明确双方实施数字化转型服务的责任、义务及利益分配机制等。</w:t>
      </w:r>
    </w:p>
    <w:p w14:paraId="002C2C88">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（二）促进中心建设主体应有固定的经营服务场所，有必要的服务设施、仪器设备和网络接入能力、数据安全保障能力。经营规范，无违法违规行为，信用记录良好。财务收支状况良好。</w:t>
      </w:r>
    </w:p>
    <w:p w14:paraId="66A6753E">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（三）促进中心建设主体有健全的管理团队和人才</w:t>
      </w:r>
      <w:r>
        <w:rPr>
          <w:rFonts w:hint="eastAsia" w:ascii="Times New Roman" w:hAnsi="Times New Roman" w:eastAsia="仿宋_GB2312" w:cs="Times New Roman"/>
          <w:kern w:val="2"/>
          <w:sz w:val="32"/>
          <w:szCs w:val="32"/>
          <w:highlight w:val="none"/>
          <w:lang w:val="en-US" w:eastAsia="zh-CN" w:bidi="ar-SA"/>
        </w:rPr>
        <w:t>队伍</w:t>
      </w:r>
      <w:r>
        <w:rPr>
          <w:rFonts w:hint="default" w:ascii="Times New Roman" w:hAnsi="Times New Roman" w:eastAsia="仿宋_GB2312" w:cs="Times New Roman"/>
          <w:kern w:val="2"/>
          <w:sz w:val="32"/>
          <w:szCs w:val="32"/>
          <w:highlight w:val="none"/>
          <w:lang w:val="en-US" w:eastAsia="zh-CN" w:bidi="ar-SA"/>
        </w:rPr>
        <w:t>，主要负责人诚信守法，具有开拓创新精神、丰富的实践经验和较高的管理水平</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有专职技术团队，包括一定比例的行业技术人才和数字化专业人才。具有较强的资源整合能力和生态构建能力，与已有行业数字化转型公共服务载体充分衔接，能够为区域内行业企业提供数字化转型专业服务，并对制造业中小微企业提供优惠服务。</w:t>
      </w:r>
    </w:p>
    <w:p w14:paraId="4888F657">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四</w:t>
      </w:r>
      <w:r>
        <w:rPr>
          <w:rFonts w:hint="default" w:ascii="Times New Roman" w:hAnsi="Times New Roman" w:eastAsia="仿宋_GB2312" w:cs="Times New Roman"/>
          <w:kern w:val="2"/>
          <w:sz w:val="32"/>
          <w:szCs w:val="32"/>
          <w:highlight w:val="none"/>
          <w:lang w:val="en-US" w:eastAsia="zh-CN" w:bidi="ar-SA"/>
        </w:rPr>
        <w:t>）促进中心建设主体应建立与服务实施相匹配的制度流程、标准和保障措施，系统解决方案联合攻关、应用推广等机制较为健全，运营模式科学合理。</w:t>
      </w:r>
    </w:p>
    <w:p w14:paraId="54E9E607">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黑体" w:hAnsi="黑体" w:eastAsia="黑体" w:cs="黑体"/>
          <w:color w:val="auto"/>
          <w:sz w:val="32"/>
          <w:szCs w:val="32"/>
          <w:highlight w:val="none"/>
          <w:lang w:val="en-US" w:eastAsia="zh-CN"/>
        </w:rPr>
        <w:t>第十</w:t>
      </w:r>
      <w:r>
        <w:rPr>
          <w:rFonts w:hint="eastAsia" w:ascii="黑体" w:hAnsi="黑体" w:eastAsia="黑体" w:cs="黑体"/>
          <w:color w:val="auto"/>
          <w:sz w:val="32"/>
          <w:szCs w:val="32"/>
          <w:highlight w:val="none"/>
          <w:lang w:val="en-US" w:eastAsia="zh-CN"/>
        </w:rPr>
        <w:t>三</w:t>
      </w:r>
      <w:r>
        <w:rPr>
          <w:rFonts w:hint="default" w:ascii="黑体" w:hAnsi="黑体" w:eastAsia="黑体" w:cs="黑体"/>
          <w:color w:val="auto"/>
          <w:sz w:val="32"/>
          <w:szCs w:val="32"/>
          <w:highlight w:val="none"/>
          <w:lang w:val="en-US" w:eastAsia="zh-C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创建程序</w:t>
      </w:r>
    </w:p>
    <w:p w14:paraId="52068D3F">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（一）市工业和信息化局发布工作通知，指导各区工业和信息化主管部门、园区管理机构、集群发展促进机构等，依托现有各类服务载体和工业企业开展促进中心创建工作。</w:t>
      </w:r>
    </w:p>
    <w:p w14:paraId="762DCC43">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（二）建设主体参考工业和信息化部办公厅印发的《制造业数字化转型促进中心创建指引》（工信厅规</w:t>
      </w:r>
      <w:r>
        <w:rPr>
          <w:rFonts w:hint="default" w:ascii="Times New Roman" w:hAnsi="Times New Roman" w:eastAsia="仿宋_GB2312" w:cs="Times New Roman"/>
          <w:color w:val="auto"/>
          <w:sz w:val="32"/>
          <w:szCs w:val="32"/>
          <w:highlight w:val="none"/>
          <w:lang w:val="en-US" w:eastAsia="zh-CN"/>
        </w:rPr>
        <w:t>函〔2025〕198号</w:t>
      </w:r>
      <w:r>
        <w:rPr>
          <w:rFonts w:hint="eastAsia" w:ascii="仿宋_GB2312" w:hAnsi="仿宋_GB2312" w:eastAsia="仿宋_GB2312" w:cs="仿宋_GB2312"/>
          <w:color w:val="auto"/>
          <w:sz w:val="32"/>
          <w:szCs w:val="32"/>
          <w:highlight w:val="none"/>
          <w:lang w:val="en-US" w:eastAsia="zh-CN"/>
        </w:rPr>
        <w:t>），编制《制造业数字化转型促进中心建设方案》。</w:t>
      </w:r>
    </w:p>
    <w:p w14:paraId="6FF8C972">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（三）各区工业和信息化主管部门开展初筛推荐工作，审核材料的真实性、完整性，择优选定推荐对象，出具推荐意见，将申报材料报送至市工业和信息化局。</w:t>
      </w:r>
    </w:p>
    <w:p w14:paraId="1CFCE002">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（四）市工业和信息化局将按程序确定市级制造业数字化转型促进中心名单。</w:t>
      </w:r>
    </w:p>
    <w:p w14:paraId="3985E6DE">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黑体" w:hAnsi="黑体" w:eastAsia="黑体" w:cs="黑体"/>
          <w:color w:val="auto"/>
          <w:sz w:val="32"/>
          <w:szCs w:val="32"/>
          <w:highlight w:val="none"/>
          <w:lang w:val="en-US" w:eastAsia="zh-CN"/>
        </w:rPr>
      </w:pPr>
    </w:p>
    <w:p w14:paraId="1D3A024C">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default" w:ascii="黑体" w:hAnsi="黑体" w:eastAsia="黑体" w:cs="黑体"/>
          <w:b w:val="0"/>
          <w:bCs/>
          <w:i w:val="0"/>
          <w:iCs w:val="0"/>
          <w:caps w:val="0"/>
          <w:color w:val="auto"/>
          <w:spacing w:val="0"/>
          <w:kern w:val="0"/>
          <w:sz w:val="32"/>
          <w:szCs w:val="32"/>
          <w:highlight w:val="none"/>
          <w:lang w:val="en-US" w:eastAsia="zh-CN" w:bidi="ar"/>
        </w:rPr>
      </w:pP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b w:val="0"/>
          <w:bCs/>
          <w:i w:val="0"/>
          <w:iCs w:val="0"/>
          <w:caps w:val="0"/>
          <w:color w:val="auto"/>
          <w:spacing w:val="0"/>
          <w:kern w:val="2"/>
          <w:sz w:val="32"/>
          <w:szCs w:val="32"/>
          <w:highlight w:val="none"/>
          <w:lang w:val="en-US" w:eastAsia="zh-CN" w:bidi="ar-SA"/>
        </w:rPr>
        <w:t>支持措施</w:t>
      </w:r>
    </w:p>
    <w:p w14:paraId="263BB0DD">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黑体" w:hAnsi="黑体" w:eastAsia="黑体" w:cs="黑体"/>
          <w:color w:val="auto"/>
          <w:sz w:val="32"/>
          <w:szCs w:val="32"/>
          <w:highlight w:val="none"/>
          <w:lang w:val="en-US" w:eastAsia="zh-CN"/>
        </w:rPr>
      </w:pPr>
    </w:p>
    <w:p w14:paraId="64391A4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sz w:val="32"/>
          <w:lang w:val="en-US" w:eastAsia="zh-CN"/>
        </w:rPr>
      </w:pPr>
      <w:r>
        <w:rPr>
          <w:rFonts w:hint="default" w:ascii="黑体" w:hAnsi="黑体" w:eastAsia="黑体" w:cs="黑体"/>
          <w:sz w:val="32"/>
          <w:highlight w:val="none"/>
          <w:lang w:eastAsia="zh-CN"/>
        </w:rPr>
        <w:t>第</w:t>
      </w:r>
      <w:r>
        <w:rPr>
          <w:rFonts w:hint="default"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lang w:val="en-US" w:eastAsia="zh-CN"/>
        </w:rPr>
        <w:t>四</w:t>
      </w:r>
      <w:r>
        <w:rPr>
          <w:rFonts w:hint="default" w:ascii="黑体" w:hAnsi="黑体" w:eastAsia="黑体" w:cs="黑体"/>
          <w:sz w:val="32"/>
          <w:highlight w:val="none"/>
          <w:lang w:eastAsia="zh-CN"/>
        </w:rPr>
        <w:t>条</w:t>
      </w:r>
      <w:r>
        <w:rPr>
          <w:rFonts w:hint="eastAsia" w:ascii="黑体" w:hAnsi="黑体" w:eastAsia="黑体" w:cs="黑体"/>
          <w:sz w:val="32"/>
          <w:highlight w:val="none"/>
          <w:lang w:val="en-US" w:eastAsia="zh-CN"/>
        </w:rPr>
        <w:t xml:space="preserve">  </w:t>
      </w:r>
      <w:r>
        <w:rPr>
          <w:rFonts w:hint="eastAsia" w:ascii="Times New Roman" w:hAnsi="Times New Roman" w:eastAsia="仿宋_GB2312" w:cs="Times New Roman"/>
          <w:sz w:val="32"/>
        </w:rPr>
        <w:t>用好天津市制造业高质量发展政策，对符合条件的</w:t>
      </w:r>
      <w:r>
        <w:rPr>
          <w:rFonts w:hint="eastAsia" w:ascii="Times New Roman" w:hAnsi="Times New Roman" w:eastAsia="仿宋_GB2312" w:cs="Times New Roman"/>
          <w:sz w:val="32"/>
          <w:lang w:eastAsia="zh-CN"/>
        </w:rPr>
        <w:t>服务商和促进中心</w:t>
      </w:r>
      <w:r>
        <w:rPr>
          <w:rFonts w:hint="eastAsia" w:ascii="Times New Roman" w:hAnsi="Times New Roman" w:eastAsia="仿宋_GB2312" w:cs="Times New Roman"/>
          <w:sz w:val="32"/>
        </w:rPr>
        <w:t>给予</w:t>
      </w:r>
      <w:r>
        <w:rPr>
          <w:rFonts w:hint="eastAsia" w:ascii="Times New Roman" w:hAnsi="Times New Roman" w:eastAsia="仿宋_GB2312" w:cs="Times New Roman"/>
          <w:sz w:val="32"/>
          <w:lang w:val="en-US" w:eastAsia="zh-CN"/>
        </w:rPr>
        <w:t>资金</w:t>
      </w:r>
      <w:r>
        <w:rPr>
          <w:rFonts w:hint="eastAsia" w:ascii="Times New Roman" w:hAnsi="Times New Roman" w:eastAsia="仿宋_GB2312" w:cs="Times New Roman"/>
          <w:sz w:val="32"/>
        </w:rPr>
        <w:t>支持。鼓励各区工业和信息化主管部门制定促进服务商和促进中心的相关支持政策</w:t>
      </w:r>
      <w:r>
        <w:rPr>
          <w:rFonts w:hint="eastAsia" w:ascii="Times New Roman" w:hAnsi="Times New Roman" w:eastAsia="仿宋_GB2312" w:cs="Times New Roman"/>
          <w:sz w:val="32"/>
          <w:lang w:eastAsia="zh-CN"/>
        </w:rPr>
        <w:t>。</w:t>
      </w:r>
    </w:p>
    <w:p w14:paraId="39178DD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default" w:ascii="黑体" w:hAnsi="黑体" w:eastAsia="黑体" w:cs="黑体"/>
          <w:sz w:val="32"/>
          <w:highlight w:val="none"/>
          <w:lang w:eastAsia="zh-CN"/>
        </w:rPr>
        <w:t>第十</w:t>
      </w:r>
      <w:r>
        <w:rPr>
          <w:rFonts w:hint="eastAsia" w:ascii="黑体" w:hAnsi="黑体" w:eastAsia="黑体" w:cs="黑体"/>
          <w:sz w:val="32"/>
          <w:highlight w:val="none"/>
          <w:lang w:eastAsia="zh-CN"/>
        </w:rPr>
        <w:t>五</w:t>
      </w:r>
      <w:r>
        <w:rPr>
          <w:rFonts w:hint="default" w:ascii="黑体" w:hAnsi="黑体" w:eastAsia="黑体" w:cs="黑体"/>
          <w:sz w:val="32"/>
          <w:highlight w:val="none"/>
          <w:lang w:eastAsia="zh-CN"/>
        </w:rPr>
        <w:t>条</w:t>
      </w:r>
      <w:r>
        <w:rPr>
          <w:rFonts w:hint="eastAsia" w:ascii="Times New Roman" w:hAnsi="Times New Roman" w:eastAsia="仿宋_GB2312" w:cs="Times New Roman"/>
          <w:sz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bidi="ar-SA"/>
        </w:rPr>
        <w:t>市工业和信息化局结合企业数字化转型、智能工厂建设等工作，组织服务商开展诊断评估、宣贯推介、供需对接等活动，支持促进中心开展天津市工业企业数字化转型评估诊断、供需对接和实施改造，沉淀数字化转型资源和成果。</w:t>
      </w:r>
    </w:p>
    <w:p w14:paraId="6B4B6E06">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黑体" w:hAnsi="黑体" w:eastAsia="黑体" w:cs="黑体"/>
          <w:color w:val="auto"/>
          <w:sz w:val="32"/>
          <w:szCs w:val="32"/>
          <w:highlight w:val="none"/>
          <w:lang w:val="en-US" w:eastAsia="zh-CN"/>
        </w:rPr>
      </w:pPr>
    </w:p>
    <w:p w14:paraId="2E95DE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default" w:ascii="黑体" w:hAnsi="黑体" w:eastAsia="黑体" w:cs="黑体"/>
          <w:b w:val="0"/>
          <w:bCs/>
          <w:i w:val="0"/>
          <w:iCs w:val="0"/>
          <w:caps w:val="0"/>
          <w:color w:val="auto"/>
          <w:spacing w:val="0"/>
          <w:kern w:val="0"/>
          <w:sz w:val="32"/>
          <w:szCs w:val="32"/>
          <w:highlight w:val="none"/>
          <w:lang w:val="en-US" w:eastAsia="zh-CN" w:bidi="ar"/>
        </w:rPr>
      </w:pPr>
      <w:r>
        <w:rPr>
          <w:rFonts w:hint="default" w:ascii="黑体" w:hAnsi="黑体" w:eastAsia="黑体" w:cs="黑体"/>
          <w:b w:val="0"/>
          <w:bCs/>
          <w:i w:val="0"/>
          <w:iCs w:val="0"/>
          <w:caps w:val="0"/>
          <w:color w:val="auto"/>
          <w:spacing w:val="0"/>
          <w:kern w:val="2"/>
          <w:sz w:val="32"/>
          <w:szCs w:val="32"/>
          <w:highlight w:val="none"/>
          <w:lang w:val="en-US" w:eastAsia="zh-CN" w:bidi="ar-SA"/>
        </w:rPr>
        <w:t>第</w:t>
      </w:r>
      <w:r>
        <w:rPr>
          <w:rFonts w:hint="eastAsia" w:ascii="黑体" w:hAnsi="黑体" w:eastAsia="黑体" w:cs="黑体"/>
          <w:b w:val="0"/>
          <w:bCs/>
          <w:i w:val="0"/>
          <w:iCs w:val="0"/>
          <w:caps w:val="0"/>
          <w:color w:val="auto"/>
          <w:spacing w:val="0"/>
          <w:kern w:val="2"/>
          <w:sz w:val="32"/>
          <w:szCs w:val="32"/>
          <w:highlight w:val="none"/>
          <w:lang w:val="en-US" w:eastAsia="zh-CN" w:bidi="ar-SA"/>
        </w:rPr>
        <w:t>五</w:t>
      </w:r>
      <w:r>
        <w:rPr>
          <w:rFonts w:hint="default" w:ascii="黑体" w:hAnsi="黑体" w:eastAsia="黑体" w:cs="黑体"/>
          <w:b w:val="0"/>
          <w:bCs/>
          <w:i w:val="0"/>
          <w:iCs w:val="0"/>
          <w:caps w:val="0"/>
          <w:color w:val="auto"/>
          <w:spacing w:val="0"/>
          <w:kern w:val="2"/>
          <w:sz w:val="32"/>
          <w:szCs w:val="32"/>
          <w:highlight w:val="none"/>
          <w:lang w:val="en-US" w:eastAsia="zh-CN" w:bidi="ar-SA"/>
        </w:rPr>
        <w:t>章 附则</w:t>
      </w:r>
    </w:p>
    <w:p w14:paraId="0EBE981B">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黑体" w:hAnsi="黑体" w:eastAsia="黑体" w:cs="黑体"/>
          <w:color w:val="auto"/>
          <w:sz w:val="32"/>
          <w:szCs w:val="32"/>
          <w:highlight w:val="none"/>
          <w:lang w:val="en-US" w:eastAsia="zh-CN"/>
        </w:rPr>
      </w:pPr>
    </w:p>
    <w:p w14:paraId="604E044C">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楷体_GB2312" w:hAnsi="楷体_GB2312" w:eastAsia="楷体_GB2312" w:cs="楷体_GB2312"/>
          <w:kern w:val="2"/>
          <w:sz w:val="32"/>
          <w:szCs w:val="32"/>
          <w:highlight w:val="none"/>
          <w:lang w:val="en-US" w:eastAsia="zh-CN" w:bidi="ar-SA"/>
        </w:rPr>
      </w:pPr>
      <w:r>
        <w:rPr>
          <w:rFonts w:hint="default" w:ascii="黑体" w:hAnsi="黑体" w:eastAsia="黑体" w:cs="黑体"/>
          <w:color w:val="auto"/>
          <w:sz w:val="32"/>
          <w:szCs w:val="32"/>
          <w:highlight w:val="none"/>
          <w:lang w:val="en-US" w:eastAsia="zh-CN"/>
        </w:rPr>
        <w:t>第</w:t>
      </w:r>
      <w:r>
        <w:rPr>
          <w:rFonts w:hint="eastAsia" w:ascii="黑体" w:hAnsi="黑体" w:eastAsia="黑体" w:cs="黑体"/>
          <w:color w:val="auto"/>
          <w:sz w:val="32"/>
          <w:szCs w:val="32"/>
          <w:highlight w:val="none"/>
          <w:lang w:val="en-US" w:eastAsia="zh-CN"/>
        </w:rPr>
        <w:t>十六条</w:t>
      </w:r>
      <w:r>
        <w:rPr>
          <w:rFonts w:hint="eastAsia" w:ascii="楷体_GB2312" w:hAnsi="楷体_GB2312" w:eastAsia="楷体_GB2312" w:cs="楷体_GB2312"/>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本管理规范由市工业和信息化局负责解释，并根据产业发展情况适时进行修订。</w:t>
      </w:r>
    </w:p>
    <w:p w14:paraId="63E20227">
      <w:pPr>
        <w:keepNext w:val="0"/>
        <w:keepLines w:val="0"/>
        <w:pageBreakBefore w:val="0"/>
        <w:widowControl w:val="0"/>
        <w:tabs>
          <w:tab w:val="left" w:pos="7920"/>
        </w:tabs>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黑体" w:hAnsi="黑体" w:eastAsia="黑体" w:cs="黑体"/>
          <w:color w:val="auto"/>
          <w:sz w:val="32"/>
          <w:szCs w:val="32"/>
          <w:highlight w:val="none"/>
          <w:lang w:val="en-US" w:eastAsia="zh-CN"/>
        </w:rPr>
        <w:t>第</w:t>
      </w:r>
      <w:r>
        <w:rPr>
          <w:rFonts w:hint="eastAsia" w:ascii="黑体" w:hAnsi="黑体" w:eastAsia="黑体" w:cs="黑体"/>
          <w:color w:val="auto"/>
          <w:sz w:val="32"/>
          <w:szCs w:val="32"/>
          <w:highlight w:val="none"/>
          <w:lang w:val="en-US" w:eastAsia="zh-CN"/>
        </w:rPr>
        <w:t>十七条</w:t>
      </w:r>
      <w:r>
        <w:rPr>
          <w:rFonts w:hint="eastAsia" w:ascii="楷体_GB2312" w:hAnsi="楷体_GB2312" w:eastAsia="楷体_GB2312" w:cs="楷体_GB2312"/>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本管理规范自印发之日起施行，有效期至2030年12月31日。</w:t>
      </w:r>
    </w:p>
    <w:p w14:paraId="7F48DC85"/>
    <w:bookmarkEnd w:id="1"/>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7D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4BB11">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4BB11">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FE36D"/>
    <w:multiLevelType w:val="singleLevel"/>
    <w:tmpl w:val="DA5FE36D"/>
    <w:lvl w:ilvl="0" w:tentative="0">
      <w:start w:val="1"/>
      <w:numFmt w:val="chineseCounting"/>
      <w:suff w:val="space"/>
      <w:lvlText w:val="第%1章"/>
      <w:lvlJc w:val="left"/>
      <w:rPr>
        <w:rFonts w:hint="eastAsia"/>
      </w:rPr>
    </w:lvl>
  </w:abstractNum>
  <w:abstractNum w:abstractNumId="1">
    <w:nsid w:val="0048ED8B"/>
    <w:multiLevelType w:val="singleLevel"/>
    <w:tmpl w:val="0048ED8B"/>
    <w:lvl w:ilvl="0" w:tentative="0">
      <w:start w:val="1"/>
      <w:numFmt w:val="chineseCounting"/>
      <w:suff w:val="nothing"/>
      <w:lvlText w:val="（%1）"/>
      <w:lvlJc w:val="left"/>
      <w:rPr>
        <w:rFonts w:hint="eastAsia"/>
      </w:rPr>
    </w:lvl>
  </w:abstractNum>
  <w:abstractNum w:abstractNumId="2">
    <w:nsid w:val="28EEBC53"/>
    <w:multiLevelType w:val="singleLevel"/>
    <w:tmpl w:val="28EEBC53"/>
    <w:lvl w:ilvl="0" w:tentative="0">
      <w:start w:val="2"/>
      <w:numFmt w:val="chineseCounting"/>
      <w:suff w:val="space"/>
      <w:lvlText w:val="第%1章"/>
      <w:lvlJc w:val="left"/>
      <w:rPr>
        <w:rFonts w:hint="eastAsia"/>
      </w:rPr>
    </w:lvl>
  </w:abstractNum>
  <w:abstractNum w:abstractNumId="3">
    <w:nsid w:val="4D6CCAC1"/>
    <w:multiLevelType w:val="singleLevel"/>
    <w:tmpl w:val="4D6CCAC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030A0"/>
    <w:rsid w:val="05590B54"/>
    <w:rsid w:val="05A658C0"/>
    <w:rsid w:val="07F308D6"/>
    <w:rsid w:val="0B7F172C"/>
    <w:rsid w:val="0BA7412C"/>
    <w:rsid w:val="0D505E23"/>
    <w:rsid w:val="0DF779D0"/>
    <w:rsid w:val="13413506"/>
    <w:rsid w:val="1567082B"/>
    <w:rsid w:val="16532762"/>
    <w:rsid w:val="16884C04"/>
    <w:rsid w:val="1D5E4C2E"/>
    <w:rsid w:val="22746E93"/>
    <w:rsid w:val="23C22842"/>
    <w:rsid w:val="24BF1890"/>
    <w:rsid w:val="25415D2D"/>
    <w:rsid w:val="2653082F"/>
    <w:rsid w:val="2B5C2A65"/>
    <w:rsid w:val="3BF70E6F"/>
    <w:rsid w:val="3C6B33AC"/>
    <w:rsid w:val="3DFA733B"/>
    <w:rsid w:val="3E45276D"/>
    <w:rsid w:val="424C322B"/>
    <w:rsid w:val="430B1A5D"/>
    <w:rsid w:val="47883CE9"/>
    <w:rsid w:val="49942AC5"/>
    <w:rsid w:val="4B1B387C"/>
    <w:rsid w:val="4C4B5306"/>
    <w:rsid w:val="50DF17E1"/>
    <w:rsid w:val="551C5030"/>
    <w:rsid w:val="554D7CA2"/>
    <w:rsid w:val="5F0030A0"/>
    <w:rsid w:val="602E55BF"/>
    <w:rsid w:val="64646E23"/>
    <w:rsid w:val="64A62FAD"/>
    <w:rsid w:val="6B842CC5"/>
    <w:rsid w:val="6CA96FF8"/>
    <w:rsid w:val="72F559FA"/>
    <w:rsid w:val="78D14D5C"/>
    <w:rsid w:val="7F95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3898</Words>
  <Characters>3944</Characters>
  <Lines>0</Lines>
  <Paragraphs>0</Paragraphs>
  <TotalTime>105</TotalTime>
  <ScaleCrop>false</ScaleCrop>
  <LinksUpToDate>false</LinksUpToDate>
  <CharactersWithSpaces>3984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2026-01-14T07:54:00Z</dcterms:created>
  <dc:creator>张荟</dc:creator>
  <cp:lastModifiedBy>英雄的黎明</cp:lastModifiedBy>
  <dcterms:modified xsi:type="dcterms:W3CDTF">2026-03-31T11:32:19Z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FE25A2BC3A7F46B3A2927DB4D00A0F65</vt:lpwstr>
  </property>
  <property fmtid="{D5CDD505-2E9C-101B-9397-08002B2CF9AE}" pid="4" name="KSOTemplateDocerSaveRecord">
    <vt:lpwstr>eyJoZGlkIjoiNjUwMjRhZTU5OGRkNzhkMDM1ZjFhMzU1OGYzNDA5NTIiLCJ1c2VySWQiOiIzODc1NzcxNzEifQ==</vt:lpwstr>
  </property>
</Properties>
</file>